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5D7" w:rsidRPr="00F96FBF" w:rsidRDefault="005C1152" w:rsidP="00FB635B">
      <w:pPr>
        <w:spacing w:line="360" w:lineRule="auto"/>
        <w:rPr>
          <w:rFonts w:ascii="Times New Roman" w:hAnsi="Times New Roman" w:cs="Times New Roman"/>
        </w:rPr>
      </w:pPr>
      <w:bookmarkStart w:id="0" w:name="_GoBack"/>
      <w:bookmarkEnd w:id="0"/>
      <w:r w:rsidRPr="00F96FBF">
        <w:rPr>
          <w:rFonts w:ascii="Times New Roman" w:hAnsi="Times New Roman" w:cs="Times New Roman"/>
        </w:rPr>
        <w:t xml:space="preserve">As </w:t>
      </w:r>
      <w:r w:rsidR="00797A1D">
        <w:rPr>
          <w:rFonts w:ascii="Times New Roman" w:hAnsi="Times New Roman" w:cs="Times New Roman"/>
        </w:rPr>
        <w:t>illustrated</w:t>
      </w:r>
      <w:r w:rsidR="00205C10" w:rsidRPr="00F96FBF">
        <w:rPr>
          <w:rFonts w:ascii="Times New Roman" w:hAnsi="Times New Roman" w:cs="Times New Roman"/>
        </w:rPr>
        <w:t xml:space="preserve"> </w:t>
      </w:r>
      <w:r w:rsidRPr="00F96FBF">
        <w:rPr>
          <w:rFonts w:ascii="Times New Roman" w:hAnsi="Times New Roman" w:cs="Times New Roman"/>
        </w:rPr>
        <w:t xml:space="preserve">in </w:t>
      </w:r>
      <w:proofErr w:type="spellStart"/>
      <w:r w:rsidRPr="00F96FBF">
        <w:rPr>
          <w:rFonts w:ascii="Times New Roman" w:hAnsi="Times New Roman" w:cs="Times New Roman"/>
        </w:rPr>
        <w:t>workpapers</w:t>
      </w:r>
      <w:proofErr w:type="spellEnd"/>
      <w:r w:rsidRPr="00F96FBF">
        <w:rPr>
          <w:rFonts w:ascii="Times New Roman" w:hAnsi="Times New Roman" w:cs="Times New Roman"/>
        </w:rPr>
        <w:t xml:space="preserve"> to Schedule 10 and 16, during the period January 201</w:t>
      </w:r>
      <w:r w:rsidR="00BD7300">
        <w:rPr>
          <w:rFonts w:ascii="Times New Roman" w:hAnsi="Times New Roman" w:cs="Times New Roman"/>
        </w:rPr>
        <w:t>3</w:t>
      </w:r>
      <w:r w:rsidRPr="00F96FBF">
        <w:rPr>
          <w:rFonts w:ascii="Times New Roman" w:hAnsi="Times New Roman" w:cs="Times New Roman"/>
        </w:rPr>
        <w:t xml:space="preserve"> through </w:t>
      </w:r>
      <w:r w:rsidR="00BD7300">
        <w:rPr>
          <w:rFonts w:ascii="Times New Roman" w:hAnsi="Times New Roman" w:cs="Times New Roman"/>
        </w:rPr>
        <w:t>December 2014</w:t>
      </w:r>
      <w:r w:rsidRPr="00F96FBF">
        <w:rPr>
          <w:rFonts w:ascii="Times New Roman" w:hAnsi="Times New Roman" w:cs="Times New Roman"/>
        </w:rPr>
        <w:t>, SCE forecasts:</w:t>
      </w:r>
    </w:p>
    <w:p w:rsidR="005C1152" w:rsidRPr="00EF3B19" w:rsidRDefault="005C1152" w:rsidP="00EF3B19">
      <w:pPr>
        <w:pStyle w:val="ListParagraph"/>
        <w:numPr>
          <w:ilvl w:val="0"/>
          <w:numId w:val="1"/>
        </w:numPr>
        <w:spacing w:line="360" w:lineRule="auto"/>
        <w:rPr>
          <w:rFonts w:ascii="Times New Roman" w:hAnsi="Times New Roman" w:cs="Times New Roman"/>
        </w:rPr>
      </w:pPr>
      <w:r w:rsidRPr="00F96FBF">
        <w:rPr>
          <w:rFonts w:ascii="Times New Roman" w:hAnsi="Times New Roman" w:cs="Times New Roman"/>
        </w:rPr>
        <w:t>$</w:t>
      </w:r>
      <w:r w:rsidR="00575750">
        <w:rPr>
          <w:rFonts w:ascii="Times New Roman" w:hAnsi="Times New Roman" w:cs="Times New Roman"/>
        </w:rPr>
        <w:t>361</w:t>
      </w:r>
      <w:r w:rsidRPr="00EF3B19">
        <w:rPr>
          <w:rFonts w:ascii="Times New Roman" w:hAnsi="Times New Roman" w:cs="Times New Roman"/>
        </w:rPr>
        <w:t xml:space="preserve"> million in ISO</w:t>
      </w:r>
      <w:r w:rsidR="007829FD" w:rsidRPr="00EF3B19">
        <w:rPr>
          <w:rFonts w:ascii="Times New Roman" w:hAnsi="Times New Roman" w:cs="Times New Roman"/>
        </w:rPr>
        <w:t xml:space="preserve">-related </w:t>
      </w:r>
      <w:r w:rsidRPr="00EF3B19">
        <w:rPr>
          <w:rFonts w:ascii="Times New Roman" w:hAnsi="Times New Roman" w:cs="Times New Roman"/>
        </w:rPr>
        <w:t xml:space="preserve">non-incentive network transmission expenditures </w:t>
      </w:r>
    </w:p>
    <w:p w:rsidR="005C1152" w:rsidRPr="00F96FBF" w:rsidRDefault="005C1152" w:rsidP="00FB635B">
      <w:pPr>
        <w:spacing w:line="360" w:lineRule="auto"/>
        <w:ind w:left="720"/>
        <w:rPr>
          <w:rFonts w:ascii="Times New Roman" w:hAnsi="Times New Roman" w:cs="Times New Roman"/>
        </w:rPr>
      </w:pPr>
      <w:r w:rsidRPr="00F96FBF">
        <w:rPr>
          <w:rFonts w:ascii="Times New Roman" w:hAnsi="Times New Roman" w:cs="Times New Roman"/>
        </w:rPr>
        <w:t>(</w:t>
      </w:r>
      <w:proofErr w:type="gramStart"/>
      <w:r w:rsidRPr="00F96FBF">
        <w:rPr>
          <w:rFonts w:ascii="Times New Roman" w:hAnsi="Times New Roman" w:cs="Times New Roman"/>
        </w:rPr>
        <w:t>including</w:t>
      </w:r>
      <w:proofErr w:type="gramEnd"/>
      <w:r w:rsidRPr="00F96FBF">
        <w:rPr>
          <w:rFonts w:ascii="Times New Roman" w:hAnsi="Times New Roman" w:cs="Times New Roman"/>
        </w:rPr>
        <w:t xml:space="preserve"> $</w:t>
      </w:r>
      <w:r w:rsidR="00500E75">
        <w:rPr>
          <w:rFonts w:ascii="Times New Roman" w:hAnsi="Times New Roman" w:cs="Times New Roman"/>
        </w:rPr>
        <w:t>1</w:t>
      </w:r>
      <w:r w:rsidR="000C6CC5">
        <w:rPr>
          <w:rFonts w:ascii="Times New Roman" w:hAnsi="Times New Roman" w:cs="Times New Roman"/>
        </w:rPr>
        <w:t>1</w:t>
      </w:r>
      <w:r w:rsidR="00667BDC">
        <w:rPr>
          <w:rFonts w:ascii="Times New Roman" w:hAnsi="Times New Roman" w:cs="Times New Roman"/>
        </w:rPr>
        <w:t>0</w:t>
      </w:r>
      <w:r w:rsidRPr="00F96FBF">
        <w:rPr>
          <w:rFonts w:ascii="Times New Roman" w:hAnsi="Times New Roman" w:cs="Times New Roman"/>
        </w:rPr>
        <w:t xml:space="preserve"> million in ISO Blanket expenditures),</w:t>
      </w:r>
    </w:p>
    <w:p w:rsidR="005C1152" w:rsidRPr="00F96FBF" w:rsidRDefault="005C1152" w:rsidP="00FB635B">
      <w:pPr>
        <w:pStyle w:val="ListParagraph"/>
        <w:numPr>
          <w:ilvl w:val="0"/>
          <w:numId w:val="1"/>
        </w:numPr>
        <w:spacing w:line="360" w:lineRule="auto"/>
        <w:rPr>
          <w:rFonts w:ascii="Times New Roman" w:hAnsi="Times New Roman" w:cs="Times New Roman"/>
        </w:rPr>
      </w:pPr>
      <w:r w:rsidRPr="00F96FBF">
        <w:rPr>
          <w:rFonts w:ascii="Times New Roman" w:hAnsi="Times New Roman" w:cs="Times New Roman"/>
        </w:rPr>
        <w:t>$</w:t>
      </w:r>
      <w:r w:rsidR="00575750">
        <w:rPr>
          <w:rFonts w:ascii="Times New Roman" w:hAnsi="Times New Roman" w:cs="Times New Roman"/>
        </w:rPr>
        <w:t>1.075</w:t>
      </w:r>
      <w:r w:rsidRPr="00F96FBF">
        <w:rPr>
          <w:rFonts w:ascii="Times New Roman" w:hAnsi="Times New Roman" w:cs="Times New Roman"/>
        </w:rPr>
        <w:t xml:space="preserve"> billion FERC incentive rate qualified CWIP expenditures, and </w:t>
      </w:r>
    </w:p>
    <w:p w:rsidR="005C1152" w:rsidRPr="00F96FBF" w:rsidRDefault="005C1152" w:rsidP="00FB635B">
      <w:pPr>
        <w:pStyle w:val="ListParagraph"/>
        <w:numPr>
          <w:ilvl w:val="0"/>
          <w:numId w:val="1"/>
        </w:numPr>
        <w:spacing w:line="360" w:lineRule="auto"/>
        <w:rPr>
          <w:rFonts w:ascii="Times New Roman" w:hAnsi="Times New Roman" w:cs="Times New Roman"/>
        </w:rPr>
      </w:pPr>
      <w:r w:rsidRPr="00EF3B19">
        <w:rPr>
          <w:rFonts w:ascii="Times New Roman" w:hAnsi="Times New Roman" w:cs="Times New Roman"/>
          <w:color w:val="000000" w:themeColor="text1"/>
        </w:rPr>
        <w:t>$</w:t>
      </w:r>
      <w:r w:rsidR="00FB52E7">
        <w:rPr>
          <w:rFonts w:ascii="Times New Roman" w:hAnsi="Times New Roman" w:cs="Times New Roman"/>
          <w:color w:val="000000" w:themeColor="text1"/>
        </w:rPr>
        <w:t>335</w:t>
      </w:r>
      <w:r w:rsidR="00575750">
        <w:rPr>
          <w:rFonts w:ascii="Times New Roman" w:hAnsi="Times New Roman" w:cs="Times New Roman" w:hint="eastAsia"/>
          <w:color w:val="000000" w:themeColor="text1"/>
        </w:rPr>
        <w:t xml:space="preserve"> </w:t>
      </w:r>
      <w:r w:rsidR="00575750">
        <w:rPr>
          <w:rFonts w:ascii="Times New Roman" w:hAnsi="Times New Roman" w:cs="Times New Roman"/>
          <w:color w:val="000000" w:themeColor="text1"/>
        </w:rPr>
        <w:t xml:space="preserve">million </w:t>
      </w:r>
      <w:r w:rsidRPr="00F96FBF">
        <w:rPr>
          <w:rFonts w:ascii="Times New Roman" w:hAnsi="Times New Roman" w:cs="Times New Roman"/>
        </w:rPr>
        <w:t xml:space="preserve">of </w:t>
      </w:r>
      <w:r w:rsidR="004E5E62" w:rsidRPr="00F96FBF">
        <w:rPr>
          <w:rFonts w:ascii="Times New Roman" w:hAnsi="Times New Roman" w:cs="Times New Roman"/>
        </w:rPr>
        <w:t xml:space="preserve">FERC </w:t>
      </w:r>
      <w:r w:rsidR="00EF3B19">
        <w:rPr>
          <w:rFonts w:ascii="Times New Roman" w:hAnsi="Times New Roman" w:cs="Times New Roman"/>
        </w:rPr>
        <w:t>direct capital e</w:t>
      </w:r>
      <w:r w:rsidR="00613C92">
        <w:rPr>
          <w:rFonts w:ascii="Times New Roman" w:hAnsi="Times New Roman" w:cs="Times New Roman"/>
        </w:rPr>
        <w:t xml:space="preserve">xpenditures projected to go into rate base </w:t>
      </w:r>
      <w:r w:rsidR="00EF3B19">
        <w:rPr>
          <w:rFonts w:ascii="Times New Roman" w:hAnsi="Times New Roman" w:cs="Times New Roman"/>
        </w:rPr>
        <w:t xml:space="preserve">during the upcoming Rate Year (in the period </w:t>
      </w:r>
      <w:r w:rsidR="00613C92">
        <w:rPr>
          <w:rFonts w:ascii="Times New Roman" w:hAnsi="Times New Roman" w:cs="Times New Roman"/>
        </w:rPr>
        <w:t>January 201</w:t>
      </w:r>
      <w:r w:rsidR="00EF3B19">
        <w:rPr>
          <w:rFonts w:ascii="Times New Roman" w:hAnsi="Times New Roman" w:cs="Times New Roman"/>
        </w:rPr>
        <w:t>4</w:t>
      </w:r>
      <w:r w:rsidR="00613C92">
        <w:rPr>
          <w:rFonts w:ascii="Times New Roman" w:hAnsi="Times New Roman" w:cs="Times New Roman"/>
        </w:rPr>
        <w:t xml:space="preserve"> through December 2014</w:t>
      </w:r>
      <w:r w:rsidR="00EF3B19">
        <w:rPr>
          <w:rFonts w:ascii="Times New Roman" w:hAnsi="Times New Roman" w:cs="Times New Roman"/>
        </w:rPr>
        <w:t>)</w:t>
      </w:r>
    </w:p>
    <w:p w:rsidR="00FB635B" w:rsidRPr="00F96FBF" w:rsidRDefault="00FB635B" w:rsidP="00FB635B">
      <w:pPr>
        <w:spacing w:line="360" w:lineRule="auto"/>
        <w:rPr>
          <w:rFonts w:ascii="Times New Roman" w:hAnsi="Times New Roman" w:cs="Times New Roman"/>
        </w:rPr>
      </w:pPr>
    </w:p>
    <w:p w:rsidR="00EB4451" w:rsidRDefault="00205C10" w:rsidP="00EB4451">
      <w:pPr>
        <w:spacing w:line="360" w:lineRule="auto"/>
        <w:rPr>
          <w:rFonts w:ascii="Times New Roman" w:hAnsi="Times New Roman" w:cs="Times New Roman"/>
        </w:rPr>
      </w:pPr>
      <w:r w:rsidRPr="00F96FBF">
        <w:rPr>
          <w:rFonts w:ascii="Times New Roman" w:hAnsi="Times New Roman" w:cs="Times New Roman"/>
        </w:rPr>
        <w:t>In addition to the numerous</w:t>
      </w:r>
      <w:r w:rsidR="0093505A" w:rsidRPr="00F96FBF">
        <w:rPr>
          <w:rFonts w:ascii="Times New Roman" w:hAnsi="Times New Roman" w:cs="Times New Roman"/>
        </w:rPr>
        <w:t xml:space="preserve"> but relatively small t</w:t>
      </w:r>
      <w:r w:rsidR="0091587C" w:rsidRPr="00F96FBF">
        <w:rPr>
          <w:rFonts w:ascii="Times New Roman" w:hAnsi="Times New Roman" w:cs="Times New Roman"/>
        </w:rPr>
        <w:t xml:space="preserve">ransmission projects, there are </w:t>
      </w:r>
      <w:r w:rsidR="00C6195D">
        <w:rPr>
          <w:rFonts w:ascii="Times New Roman" w:hAnsi="Times New Roman" w:cs="Times New Roman"/>
        </w:rPr>
        <w:t>nine</w:t>
      </w:r>
      <w:r w:rsidR="0093505A" w:rsidRPr="00F96FBF">
        <w:rPr>
          <w:rFonts w:ascii="Times New Roman" w:hAnsi="Times New Roman" w:cs="Times New Roman"/>
        </w:rPr>
        <w:t xml:space="preserve"> significant transmission projects (each $5 million or greater in ISO-related costs) that are </w:t>
      </w:r>
      <w:r w:rsidR="00500E75">
        <w:rPr>
          <w:rFonts w:ascii="Times New Roman" w:hAnsi="Times New Roman" w:cs="Times New Roman"/>
        </w:rPr>
        <w:t xml:space="preserve">projected to </w:t>
      </w:r>
      <w:r w:rsidR="00613C92">
        <w:rPr>
          <w:rFonts w:ascii="Times New Roman" w:hAnsi="Times New Roman" w:cs="Times New Roman"/>
        </w:rPr>
        <w:t>go into rate base</w:t>
      </w:r>
      <w:r w:rsidR="00500E75">
        <w:rPr>
          <w:rFonts w:ascii="Times New Roman" w:hAnsi="Times New Roman" w:cs="Times New Roman"/>
        </w:rPr>
        <w:t xml:space="preserve"> during the upcoming Rate Year</w:t>
      </w:r>
      <w:r w:rsidR="0093505A" w:rsidRPr="00F96FBF">
        <w:rPr>
          <w:rFonts w:ascii="Times New Roman" w:hAnsi="Times New Roman" w:cs="Times New Roman"/>
        </w:rPr>
        <w:t xml:space="preserve"> – </w:t>
      </w:r>
      <w:r w:rsidR="00500E75">
        <w:rPr>
          <w:rFonts w:ascii="Times New Roman" w:hAnsi="Times New Roman" w:cs="Times New Roman"/>
        </w:rPr>
        <w:t>two</w:t>
      </w:r>
      <w:r w:rsidR="0093505A" w:rsidRPr="00F96FBF">
        <w:rPr>
          <w:rFonts w:ascii="Times New Roman" w:hAnsi="Times New Roman" w:cs="Times New Roman"/>
        </w:rPr>
        <w:t xml:space="preserve"> Blanket</w:t>
      </w:r>
      <w:r w:rsidR="00500E75">
        <w:rPr>
          <w:rFonts w:ascii="Times New Roman" w:hAnsi="Times New Roman" w:cs="Times New Roman"/>
        </w:rPr>
        <w:t>s</w:t>
      </w:r>
      <w:r w:rsidR="0093505A" w:rsidRPr="00F96FBF">
        <w:rPr>
          <w:rFonts w:ascii="Times New Roman" w:hAnsi="Times New Roman" w:cs="Times New Roman"/>
        </w:rPr>
        <w:t xml:space="preserve"> (item</w:t>
      </w:r>
      <w:r w:rsidR="00500E75">
        <w:rPr>
          <w:rFonts w:ascii="Times New Roman" w:hAnsi="Times New Roman" w:cs="Times New Roman"/>
        </w:rPr>
        <w:t xml:space="preserve">s </w:t>
      </w:r>
      <w:r w:rsidR="0093505A" w:rsidRPr="00F96FBF">
        <w:rPr>
          <w:rFonts w:ascii="Times New Roman" w:hAnsi="Times New Roman" w:cs="Times New Roman"/>
        </w:rPr>
        <w:t>1</w:t>
      </w:r>
      <w:r w:rsidR="00500E75">
        <w:rPr>
          <w:rFonts w:ascii="Times New Roman" w:hAnsi="Times New Roman" w:cs="Times New Roman"/>
        </w:rPr>
        <w:t xml:space="preserve"> and 2</w:t>
      </w:r>
      <w:r w:rsidR="0093505A" w:rsidRPr="00F96FBF">
        <w:rPr>
          <w:rFonts w:ascii="Times New Roman" w:hAnsi="Times New Roman" w:cs="Times New Roman"/>
        </w:rPr>
        <w:t xml:space="preserve">), </w:t>
      </w:r>
      <w:r w:rsidR="00500E75">
        <w:rPr>
          <w:rFonts w:ascii="Times New Roman" w:hAnsi="Times New Roman" w:cs="Times New Roman"/>
        </w:rPr>
        <w:t>f</w:t>
      </w:r>
      <w:r w:rsidR="00C6195D">
        <w:rPr>
          <w:rFonts w:ascii="Times New Roman" w:hAnsi="Times New Roman" w:cs="Times New Roman"/>
        </w:rPr>
        <w:t>ive</w:t>
      </w:r>
      <w:r w:rsidR="00500E75">
        <w:rPr>
          <w:rFonts w:ascii="Times New Roman" w:hAnsi="Times New Roman" w:cs="Times New Roman"/>
        </w:rPr>
        <w:t xml:space="preserve"> </w:t>
      </w:r>
      <w:r w:rsidR="00D469B9" w:rsidRPr="00F96FBF">
        <w:rPr>
          <w:rFonts w:ascii="Times New Roman" w:hAnsi="Times New Roman" w:cs="Times New Roman"/>
        </w:rPr>
        <w:t xml:space="preserve">non-incentive projects (items </w:t>
      </w:r>
      <w:r w:rsidR="00500E75">
        <w:rPr>
          <w:rFonts w:ascii="Times New Roman" w:hAnsi="Times New Roman" w:cs="Times New Roman"/>
        </w:rPr>
        <w:t>3</w:t>
      </w:r>
      <w:r w:rsidR="00D469B9" w:rsidRPr="00F96FBF">
        <w:rPr>
          <w:rFonts w:ascii="Times New Roman" w:hAnsi="Times New Roman" w:cs="Times New Roman"/>
        </w:rPr>
        <w:t xml:space="preserve"> through </w:t>
      </w:r>
      <w:r w:rsidR="00C6195D">
        <w:rPr>
          <w:rFonts w:ascii="Times New Roman" w:hAnsi="Times New Roman" w:cs="Times New Roman"/>
        </w:rPr>
        <w:t>7</w:t>
      </w:r>
      <w:r w:rsidR="00D469B9" w:rsidRPr="00F96FBF">
        <w:rPr>
          <w:rFonts w:ascii="Times New Roman" w:hAnsi="Times New Roman" w:cs="Times New Roman"/>
        </w:rPr>
        <w:t xml:space="preserve"> below)</w:t>
      </w:r>
      <w:r w:rsidR="0091587C" w:rsidRPr="00F96FBF">
        <w:rPr>
          <w:rFonts w:ascii="Times New Roman" w:hAnsi="Times New Roman" w:cs="Times New Roman"/>
        </w:rPr>
        <w:t>, and</w:t>
      </w:r>
      <w:r w:rsidR="0093505A" w:rsidRPr="00F96FBF">
        <w:rPr>
          <w:rFonts w:ascii="Times New Roman" w:hAnsi="Times New Roman" w:cs="Times New Roman"/>
        </w:rPr>
        <w:t xml:space="preserve"> </w:t>
      </w:r>
      <w:r w:rsidR="00A701CB">
        <w:rPr>
          <w:rFonts w:ascii="Times New Roman" w:hAnsi="Times New Roman" w:cs="Times New Roman"/>
        </w:rPr>
        <w:t>two</w:t>
      </w:r>
      <w:r w:rsidR="0093505A" w:rsidRPr="00F96FBF">
        <w:rPr>
          <w:rFonts w:ascii="Times New Roman" w:hAnsi="Times New Roman" w:cs="Times New Roman"/>
        </w:rPr>
        <w:t xml:space="preserve"> incentive</w:t>
      </w:r>
      <w:r w:rsidR="00D469B9" w:rsidRPr="00F96FBF">
        <w:rPr>
          <w:rFonts w:ascii="Times New Roman" w:hAnsi="Times New Roman" w:cs="Times New Roman"/>
        </w:rPr>
        <w:t xml:space="preserve"> projects (</w:t>
      </w:r>
      <w:r w:rsidR="00A701CB">
        <w:rPr>
          <w:rFonts w:ascii="Times New Roman" w:hAnsi="Times New Roman" w:cs="Times New Roman"/>
        </w:rPr>
        <w:t xml:space="preserve">items </w:t>
      </w:r>
      <w:r w:rsidR="00C6195D">
        <w:rPr>
          <w:rFonts w:ascii="Times New Roman" w:hAnsi="Times New Roman" w:cs="Times New Roman"/>
        </w:rPr>
        <w:t>8</w:t>
      </w:r>
      <w:r w:rsidR="00A701CB">
        <w:rPr>
          <w:rFonts w:ascii="Times New Roman" w:hAnsi="Times New Roman" w:cs="Times New Roman"/>
        </w:rPr>
        <w:t xml:space="preserve"> and </w:t>
      </w:r>
      <w:r w:rsidR="00C6195D">
        <w:rPr>
          <w:rFonts w:ascii="Times New Roman" w:hAnsi="Times New Roman" w:cs="Times New Roman"/>
        </w:rPr>
        <w:t>9</w:t>
      </w:r>
      <w:r w:rsidR="00D469B9" w:rsidRPr="00F96FBF">
        <w:rPr>
          <w:rFonts w:ascii="Times New Roman" w:hAnsi="Times New Roman" w:cs="Times New Roman"/>
        </w:rPr>
        <w:t xml:space="preserve"> </w:t>
      </w:r>
      <w:r w:rsidR="00654561" w:rsidRPr="00F96FBF">
        <w:rPr>
          <w:rFonts w:ascii="Times New Roman" w:hAnsi="Times New Roman" w:cs="Times New Roman"/>
        </w:rPr>
        <w:t xml:space="preserve">below). </w:t>
      </w:r>
      <w:r w:rsidR="00F96FBF" w:rsidRPr="00F96FBF">
        <w:rPr>
          <w:rFonts w:ascii="Times New Roman" w:hAnsi="Times New Roman" w:cs="Times New Roman"/>
        </w:rPr>
        <w:t>Table 1 below provides a summary of forecast FERC-jurisdictional d</w:t>
      </w:r>
      <w:r w:rsidR="00A701CB">
        <w:rPr>
          <w:rFonts w:ascii="Times New Roman" w:hAnsi="Times New Roman" w:cs="Times New Roman"/>
        </w:rPr>
        <w:t>irect capital expenditures for nine</w:t>
      </w:r>
      <w:r w:rsidR="00F96FBF" w:rsidRPr="00F96FBF">
        <w:rPr>
          <w:rFonts w:ascii="Times New Roman" w:hAnsi="Times New Roman" w:cs="Times New Roman"/>
        </w:rPr>
        <w:t xml:space="preserve"> significant transmission projects that are</w:t>
      </w:r>
      <w:r w:rsidR="00A701CB">
        <w:rPr>
          <w:rFonts w:ascii="Times New Roman" w:hAnsi="Times New Roman" w:cs="Times New Roman"/>
        </w:rPr>
        <w:t xml:space="preserve"> projected </w:t>
      </w:r>
      <w:r w:rsidR="00F96FBF" w:rsidRPr="00F96FBF">
        <w:rPr>
          <w:rFonts w:ascii="Times New Roman" w:hAnsi="Times New Roman" w:cs="Times New Roman"/>
        </w:rPr>
        <w:t>to</w:t>
      </w:r>
      <w:r w:rsidR="00613C92">
        <w:rPr>
          <w:rFonts w:ascii="Times New Roman" w:hAnsi="Times New Roman" w:cs="Times New Roman"/>
        </w:rPr>
        <w:t xml:space="preserve"> go into rate base</w:t>
      </w:r>
      <w:r w:rsidR="00F96FBF" w:rsidRPr="00F96FBF">
        <w:rPr>
          <w:rFonts w:ascii="Times New Roman" w:hAnsi="Times New Roman" w:cs="Times New Roman"/>
        </w:rPr>
        <w:t xml:space="preserve"> in the period January 201</w:t>
      </w:r>
      <w:r w:rsidR="00A701CB">
        <w:rPr>
          <w:rFonts w:ascii="Times New Roman" w:hAnsi="Times New Roman" w:cs="Times New Roman"/>
        </w:rPr>
        <w:t>4</w:t>
      </w:r>
      <w:r w:rsidR="00F96FBF" w:rsidRPr="00F96FBF">
        <w:rPr>
          <w:rFonts w:ascii="Times New Roman" w:hAnsi="Times New Roman" w:cs="Times New Roman"/>
        </w:rPr>
        <w:t xml:space="preserve"> through </w:t>
      </w:r>
      <w:r w:rsidR="00A701CB">
        <w:rPr>
          <w:rFonts w:ascii="Times New Roman" w:hAnsi="Times New Roman" w:cs="Times New Roman"/>
        </w:rPr>
        <w:t>December 2014</w:t>
      </w:r>
      <w:r w:rsidR="00F96FBF" w:rsidRPr="00F96FBF">
        <w:rPr>
          <w:rFonts w:ascii="Times New Roman" w:hAnsi="Times New Roman" w:cs="Times New Roman"/>
        </w:rPr>
        <w:t>.</w:t>
      </w:r>
    </w:p>
    <w:p w:rsidR="00F96FBF" w:rsidRPr="00F96FBF" w:rsidRDefault="00F96FBF" w:rsidP="00EB4451">
      <w:pPr>
        <w:jc w:val="center"/>
        <w:rPr>
          <w:rFonts w:ascii="Times New Roman" w:hAnsi="Times New Roman" w:cs="Times New Roman"/>
          <w:b/>
        </w:rPr>
      </w:pPr>
      <w:r w:rsidRPr="00F96FBF">
        <w:rPr>
          <w:rFonts w:ascii="Times New Roman" w:hAnsi="Times New Roman" w:cs="Times New Roman"/>
          <w:b/>
        </w:rPr>
        <w:t>Table 1</w:t>
      </w:r>
    </w:p>
    <w:p w:rsidR="00F96FBF" w:rsidRPr="00F96FBF" w:rsidRDefault="00F96FBF" w:rsidP="00EB4451">
      <w:pPr>
        <w:jc w:val="center"/>
        <w:rPr>
          <w:rFonts w:ascii="Times New Roman" w:hAnsi="Times New Roman" w:cs="Times New Roman"/>
          <w:b/>
        </w:rPr>
      </w:pPr>
      <w:r w:rsidRPr="00F96FBF">
        <w:rPr>
          <w:rFonts w:ascii="Times New Roman" w:hAnsi="Times New Roman" w:cs="Times New Roman"/>
          <w:b/>
        </w:rPr>
        <w:t>FERC Direct Capital Expenditures</w:t>
      </w:r>
      <w:r w:rsidR="00FB72D4">
        <w:rPr>
          <w:rFonts w:ascii="Times New Roman" w:hAnsi="Times New Roman" w:cs="Times New Roman"/>
          <w:b/>
        </w:rPr>
        <w:t xml:space="preserve"> Projected to Go into Rate Base</w:t>
      </w:r>
      <w:r w:rsidRPr="00F96FBF">
        <w:rPr>
          <w:rFonts w:ascii="Times New Roman" w:hAnsi="Times New Roman" w:cs="Times New Roman"/>
          <w:b/>
        </w:rPr>
        <w:t xml:space="preserve"> </w:t>
      </w:r>
      <w:r w:rsidR="00FB72D4">
        <w:rPr>
          <w:rFonts w:ascii="Times New Roman" w:hAnsi="Times New Roman" w:cs="Times New Roman"/>
          <w:b/>
        </w:rPr>
        <w:t>during Rate Year</w:t>
      </w:r>
      <w:r w:rsidR="00EB4451">
        <w:rPr>
          <w:rStyle w:val="FootnoteReference"/>
          <w:rFonts w:ascii="Times New Roman" w:hAnsi="Times New Roman" w:cs="Times New Roman"/>
          <w:b/>
        </w:rPr>
        <w:footnoteReference w:id="1"/>
      </w:r>
    </w:p>
    <w:p w:rsidR="00F96FBF" w:rsidRPr="00F96FBF" w:rsidRDefault="00F96FBF" w:rsidP="00EB4451">
      <w:pPr>
        <w:jc w:val="center"/>
        <w:rPr>
          <w:rFonts w:ascii="Times New Roman" w:hAnsi="Times New Roman" w:cs="Times New Roman"/>
          <w:i/>
        </w:rPr>
      </w:pPr>
      <w:r w:rsidRPr="00F96FBF">
        <w:rPr>
          <w:rFonts w:ascii="Times New Roman" w:hAnsi="Times New Roman" w:cs="Times New Roman"/>
          <w:i/>
        </w:rPr>
        <w:t>($millions)</w:t>
      </w:r>
    </w:p>
    <w:tbl>
      <w:tblPr>
        <w:tblStyle w:val="TableGrid"/>
        <w:tblW w:w="9040" w:type="dxa"/>
        <w:tblInd w:w="378" w:type="dxa"/>
        <w:tblLayout w:type="fixed"/>
        <w:tblLook w:val="04A0" w:firstRow="1" w:lastRow="0" w:firstColumn="1" w:lastColumn="0" w:noHBand="0" w:noVBand="1"/>
      </w:tblPr>
      <w:tblGrid>
        <w:gridCol w:w="562"/>
        <w:gridCol w:w="940"/>
        <w:gridCol w:w="4658"/>
        <w:gridCol w:w="1440"/>
        <w:gridCol w:w="1440"/>
      </w:tblGrid>
      <w:tr w:rsidR="00500E75" w:rsidRPr="00F96FBF" w:rsidTr="00A701CB">
        <w:trPr>
          <w:tblHeader/>
        </w:trPr>
        <w:tc>
          <w:tcPr>
            <w:tcW w:w="562" w:type="dxa"/>
            <w:vAlign w:val="bottom"/>
          </w:tcPr>
          <w:p w:rsidR="00500E75" w:rsidRDefault="00500E75" w:rsidP="006453C1">
            <w:pPr>
              <w:jc w:val="center"/>
              <w:rPr>
                <w:rFonts w:ascii="Times New Roman" w:hAnsi="Times New Roman" w:cs="Times New Roman"/>
                <w:b/>
              </w:rPr>
            </w:pPr>
            <w:r>
              <w:rPr>
                <w:rFonts w:ascii="Times New Roman" w:hAnsi="Times New Roman" w:cs="Times New Roman"/>
                <w:b/>
              </w:rPr>
              <w:t>No.</w:t>
            </w:r>
          </w:p>
        </w:tc>
        <w:tc>
          <w:tcPr>
            <w:tcW w:w="940" w:type="dxa"/>
            <w:vAlign w:val="bottom"/>
          </w:tcPr>
          <w:p w:rsidR="00500E75" w:rsidRPr="00F96FBF" w:rsidRDefault="00500E75" w:rsidP="006453C1">
            <w:pPr>
              <w:jc w:val="center"/>
              <w:rPr>
                <w:rFonts w:ascii="Times New Roman" w:hAnsi="Times New Roman" w:cs="Times New Roman"/>
                <w:b/>
              </w:rPr>
            </w:pPr>
            <w:r>
              <w:rPr>
                <w:rFonts w:ascii="Times New Roman" w:hAnsi="Times New Roman" w:cs="Times New Roman"/>
                <w:b/>
              </w:rPr>
              <w:t>PIN</w:t>
            </w:r>
          </w:p>
        </w:tc>
        <w:tc>
          <w:tcPr>
            <w:tcW w:w="4658" w:type="dxa"/>
            <w:vAlign w:val="bottom"/>
          </w:tcPr>
          <w:p w:rsidR="00500E75" w:rsidRPr="00F96FBF" w:rsidRDefault="00500E75" w:rsidP="00F96FBF">
            <w:pPr>
              <w:jc w:val="center"/>
              <w:rPr>
                <w:rFonts w:ascii="Times New Roman" w:hAnsi="Times New Roman" w:cs="Times New Roman"/>
                <w:b/>
              </w:rPr>
            </w:pPr>
            <w:r w:rsidRPr="00F96FBF">
              <w:rPr>
                <w:rFonts w:ascii="Times New Roman" w:hAnsi="Times New Roman" w:cs="Times New Roman"/>
                <w:b/>
              </w:rPr>
              <w:t>Project</w:t>
            </w:r>
          </w:p>
        </w:tc>
        <w:tc>
          <w:tcPr>
            <w:tcW w:w="1440" w:type="dxa"/>
            <w:vAlign w:val="bottom"/>
          </w:tcPr>
          <w:p w:rsidR="00500E75" w:rsidRPr="00F96FBF" w:rsidRDefault="00500E75" w:rsidP="00F96FBF">
            <w:pPr>
              <w:jc w:val="center"/>
              <w:rPr>
                <w:rFonts w:ascii="Times New Roman" w:hAnsi="Times New Roman" w:cs="Times New Roman"/>
                <w:b/>
              </w:rPr>
            </w:pPr>
            <w:r w:rsidRPr="00F96FBF">
              <w:rPr>
                <w:rFonts w:ascii="Times New Roman" w:hAnsi="Times New Roman" w:cs="Times New Roman"/>
                <w:b/>
              </w:rPr>
              <w:t>FERC</w:t>
            </w:r>
          </w:p>
          <w:p w:rsidR="00500E75" w:rsidRPr="00F96FBF" w:rsidRDefault="00500E75" w:rsidP="00F96FBF">
            <w:pPr>
              <w:jc w:val="center"/>
              <w:rPr>
                <w:rFonts w:ascii="Times New Roman" w:hAnsi="Times New Roman" w:cs="Times New Roman"/>
                <w:b/>
              </w:rPr>
            </w:pPr>
            <w:r w:rsidRPr="00F96FBF">
              <w:rPr>
                <w:rFonts w:ascii="Times New Roman" w:hAnsi="Times New Roman" w:cs="Times New Roman"/>
                <w:b/>
              </w:rPr>
              <w:t>CWIP</w:t>
            </w:r>
          </w:p>
        </w:tc>
        <w:tc>
          <w:tcPr>
            <w:tcW w:w="1440" w:type="dxa"/>
            <w:vAlign w:val="bottom"/>
          </w:tcPr>
          <w:p w:rsidR="00500E75" w:rsidRPr="00F96FBF" w:rsidRDefault="00500E75" w:rsidP="00F96FBF">
            <w:pPr>
              <w:jc w:val="center"/>
              <w:rPr>
                <w:rFonts w:ascii="Times New Roman" w:hAnsi="Times New Roman" w:cs="Times New Roman"/>
                <w:b/>
              </w:rPr>
            </w:pPr>
            <w:r w:rsidRPr="00F96FBF">
              <w:rPr>
                <w:rFonts w:ascii="Times New Roman" w:hAnsi="Times New Roman" w:cs="Times New Roman"/>
                <w:b/>
              </w:rPr>
              <w:t>FERC</w:t>
            </w:r>
          </w:p>
          <w:p w:rsidR="00500E75" w:rsidRPr="00F96FBF" w:rsidRDefault="00500E75" w:rsidP="00F96FBF">
            <w:pPr>
              <w:jc w:val="center"/>
              <w:rPr>
                <w:rFonts w:ascii="Times New Roman" w:hAnsi="Times New Roman" w:cs="Times New Roman"/>
                <w:b/>
              </w:rPr>
            </w:pPr>
            <w:r w:rsidRPr="00F96FBF">
              <w:rPr>
                <w:rFonts w:ascii="Times New Roman" w:hAnsi="Times New Roman" w:cs="Times New Roman"/>
                <w:b/>
              </w:rPr>
              <w:t>Non-CWIP</w:t>
            </w:r>
          </w:p>
        </w:tc>
      </w:tr>
      <w:tr w:rsidR="00500E75" w:rsidRPr="00F96FBF" w:rsidTr="00A701CB">
        <w:tc>
          <w:tcPr>
            <w:tcW w:w="562" w:type="dxa"/>
          </w:tcPr>
          <w:p w:rsidR="00500E75" w:rsidRDefault="00500E75" w:rsidP="009529D8">
            <w:pPr>
              <w:jc w:val="center"/>
              <w:rPr>
                <w:rFonts w:ascii="Times New Roman" w:hAnsi="Times New Roman" w:cs="Times New Roman"/>
              </w:rPr>
            </w:pPr>
            <w:r>
              <w:rPr>
                <w:rFonts w:ascii="Times New Roman" w:hAnsi="Times New Roman" w:cs="Times New Roman"/>
              </w:rPr>
              <w:t>1</w:t>
            </w:r>
          </w:p>
        </w:tc>
        <w:tc>
          <w:tcPr>
            <w:tcW w:w="940" w:type="dxa"/>
            <w:vAlign w:val="center"/>
          </w:tcPr>
          <w:p w:rsidR="00500E75" w:rsidRPr="00F96FBF" w:rsidRDefault="00500E75" w:rsidP="009529D8">
            <w:pPr>
              <w:jc w:val="center"/>
              <w:rPr>
                <w:rFonts w:ascii="Times New Roman" w:hAnsi="Times New Roman" w:cs="Times New Roman"/>
              </w:rPr>
            </w:pPr>
            <w:r>
              <w:rPr>
                <w:rFonts w:ascii="Times New Roman" w:hAnsi="Times New Roman" w:cs="Times New Roman"/>
              </w:rPr>
              <w:t>4756</w:t>
            </w:r>
          </w:p>
        </w:tc>
        <w:tc>
          <w:tcPr>
            <w:tcW w:w="4658" w:type="dxa"/>
            <w:vAlign w:val="center"/>
          </w:tcPr>
          <w:p w:rsidR="00500E75" w:rsidRPr="00F27725" w:rsidRDefault="00500E75" w:rsidP="00F96FBF">
            <w:pPr>
              <w:rPr>
                <w:rFonts w:ascii="Times New Roman" w:hAnsi="Times New Roman" w:cs="Times New Roman"/>
                <w:szCs w:val="20"/>
              </w:rPr>
            </w:pPr>
            <w:r w:rsidRPr="00F27725">
              <w:rPr>
                <w:rFonts w:ascii="Times New Roman" w:hAnsi="Times New Roman" w:cs="Times New Roman"/>
                <w:szCs w:val="20"/>
              </w:rPr>
              <w:t>Substation Equipment, Additions &amp; Betterment</w:t>
            </w:r>
          </w:p>
        </w:tc>
        <w:tc>
          <w:tcPr>
            <w:tcW w:w="1440" w:type="dxa"/>
            <w:vAlign w:val="center"/>
          </w:tcPr>
          <w:p w:rsidR="00500E75" w:rsidRPr="00F96FBF" w:rsidRDefault="00500E75" w:rsidP="00F96FBF">
            <w:pPr>
              <w:jc w:val="center"/>
              <w:rPr>
                <w:rFonts w:ascii="Times New Roman" w:hAnsi="Times New Roman" w:cs="Times New Roman"/>
              </w:rPr>
            </w:pPr>
            <w:r w:rsidRPr="00F96FBF">
              <w:rPr>
                <w:rFonts w:ascii="Times New Roman" w:hAnsi="Times New Roman" w:cs="Times New Roman"/>
              </w:rPr>
              <w:t>0</w:t>
            </w:r>
          </w:p>
        </w:tc>
        <w:tc>
          <w:tcPr>
            <w:tcW w:w="1440" w:type="dxa"/>
            <w:vAlign w:val="center"/>
          </w:tcPr>
          <w:p w:rsidR="00500E75" w:rsidRPr="00F96FBF" w:rsidRDefault="00500E75" w:rsidP="00F96FBF">
            <w:pPr>
              <w:jc w:val="center"/>
              <w:rPr>
                <w:rFonts w:ascii="Times New Roman" w:hAnsi="Times New Roman" w:cs="Times New Roman"/>
              </w:rPr>
            </w:pPr>
            <w:r>
              <w:rPr>
                <w:rFonts w:ascii="Times New Roman" w:hAnsi="Times New Roman" w:cs="Times New Roman"/>
              </w:rPr>
              <w:t>9.556</w:t>
            </w:r>
          </w:p>
        </w:tc>
      </w:tr>
      <w:tr w:rsidR="00500E75" w:rsidRPr="00F96FBF" w:rsidTr="00A701CB">
        <w:tc>
          <w:tcPr>
            <w:tcW w:w="562" w:type="dxa"/>
          </w:tcPr>
          <w:p w:rsidR="00500E75" w:rsidRDefault="00500E75" w:rsidP="009529D8">
            <w:pPr>
              <w:jc w:val="center"/>
              <w:rPr>
                <w:rFonts w:ascii="Times New Roman" w:hAnsi="Times New Roman" w:cs="Times New Roman"/>
              </w:rPr>
            </w:pPr>
            <w:r>
              <w:rPr>
                <w:rFonts w:ascii="Times New Roman" w:hAnsi="Times New Roman" w:cs="Times New Roman"/>
              </w:rPr>
              <w:t>2</w:t>
            </w:r>
          </w:p>
        </w:tc>
        <w:tc>
          <w:tcPr>
            <w:tcW w:w="940" w:type="dxa"/>
            <w:vAlign w:val="center"/>
          </w:tcPr>
          <w:p w:rsidR="00500E75" w:rsidRDefault="00500E75" w:rsidP="009529D8">
            <w:pPr>
              <w:jc w:val="center"/>
              <w:rPr>
                <w:rFonts w:ascii="Times New Roman" w:hAnsi="Times New Roman" w:cs="Times New Roman"/>
              </w:rPr>
            </w:pPr>
            <w:r>
              <w:rPr>
                <w:rFonts w:ascii="Times New Roman" w:hAnsi="Times New Roman" w:cs="Times New Roman"/>
              </w:rPr>
              <w:t>4331</w:t>
            </w:r>
          </w:p>
        </w:tc>
        <w:tc>
          <w:tcPr>
            <w:tcW w:w="4658" w:type="dxa"/>
            <w:vAlign w:val="center"/>
          </w:tcPr>
          <w:p w:rsidR="00500E75" w:rsidRPr="00F96FBF" w:rsidRDefault="00500E75" w:rsidP="00F96FBF">
            <w:pPr>
              <w:rPr>
                <w:rFonts w:ascii="Times New Roman" w:hAnsi="Times New Roman" w:cs="Times New Roman"/>
              </w:rPr>
            </w:pPr>
            <w:r w:rsidRPr="00F27725">
              <w:rPr>
                <w:rFonts w:ascii="Times New Roman" w:hAnsi="Times New Roman" w:cs="Times New Roman"/>
              </w:rPr>
              <w:t>Transformer Bank Replacement Program</w:t>
            </w:r>
          </w:p>
        </w:tc>
        <w:tc>
          <w:tcPr>
            <w:tcW w:w="1440" w:type="dxa"/>
            <w:vAlign w:val="center"/>
          </w:tcPr>
          <w:p w:rsidR="00500E75" w:rsidRPr="00F96FBF" w:rsidRDefault="00500E75" w:rsidP="00F96FBF">
            <w:pPr>
              <w:jc w:val="center"/>
              <w:rPr>
                <w:rFonts w:ascii="Times New Roman" w:hAnsi="Times New Roman" w:cs="Times New Roman"/>
              </w:rPr>
            </w:pPr>
            <w:r w:rsidRPr="00F96FBF">
              <w:rPr>
                <w:rFonts w:ascii="Times New Roman" w:hAnsi="Times New Roman" w:cs="Times New Roman"/>
              </w:rPr>
              <w:t>0</w:t>
            </w:r>
          </w:p>
        </w:tc>
        <w:tc>
          <w:tcPr>
            <w:tcW w:w="1440" w:type="dxa"/>
            <w:vAlign w:val="center"/>
          </w:tcPr>
          <w:p w:rsidR="00500E75" w:rsidRPr="00F96FBF" w:rsidRDefault="00500E75" w:rsidP="00F96FBF">
            <w:pPr>
              <w:jc w:val="center"/>
              <w:rPr>
                <w:rFonts w:ascii="Times New Roman" w:hAnsi="Times New Roman" w:cs="Times New Roman"/>
              </w:rPr>
            </w:pPr>
            <w:r>
              <w:rPr>
                <w:rFonts w:ascii="Times New Roman" w:hAnsi="Times New Roman" w:cs="Times New Roman"/>
              </w:rPr>
              <w:t>17.827</w:t>
            </w:r>
          </w:p>
        </w:tc>
      </w:tr>
      <w:tr w:rsidR="00500E75" w:rsidRPr="00F96FBF" w:rsidTr="00A701CB">
        <w:trPr>
          <w:trHeight w:val="170"/>
        </w:trPr>
        <w:tc>
          <w:tcPr>
            <w:tcW w:w="562" w:type="dxa"/>
          </w:tcPr>
          <w:p w:rsidR="00500E75" w:rsidRDefault="00500E75" w:rsidP="0007153D">
            <w:pPr>
              <w:jc w:val="center"/>
              <w:rPr>
                <w:rFonts w:ascii="Times New Roman" w:hAnsi="Times New Roman" w:cs="Times New Roman"/>
              </w:rPr>
            </w:pPr>
            <w:r>
              <w:rPr>
                <w:rFonts w:ascii="Times New Roman" w:hAnsi="Times New Roman" w:cs="Times New Roman"/>
              </w:rPr>
              <w:t>3</w:t>
            </w:r>
          </w:p>
        </w:tc>
        <w:tc>
          <w:tcPr>
            <w:tcW w:w="940" w:type="dxa"/>
            <w:vAlign w:val="center"/>
          </w:tcPr>
          <w:p w:rsidR="00500E75" w:rsidRPr="00F96FBF" w:rsidRDefault="00500E75" w:rsidP="0007153D">
            <w:pPr>
              <w:jc w:val="center"/>
              <w:rPr>
                <w:rFonts w:ascii="Times New Roman" w:hAnsi="Times New Roman" w:cs="Times New Roman"/>
              </w:rPr>
            </w:pPr>
            <w:r>
              <w:rPr>
                <w:rFonts w:ascii="Times New Roman" w:hAnsi="Times New Roman" w:cs="Times New Roman"/>
              </w:rPr>
              <w:t>7117</w:t>
            </w:r>
          </w:p>
        </w:tc>
        <w:tc>
          <w:tcPr>
            <w:tcW w:w="4658" w:type="dxa"/>
            <w:vAlign w:val="center"/>
          </w:tcPr>
          <w:p w:rsidR="00500E75" w:rsidRPr="00F96FBF" w:rsidRDefault="00500E75" w:rsidP="0007153D">
            <w:pPr>
              <w:rPr>
                <w:rFonts w:ascii="Times New Roman" w:hAnsi="Times New Roman" w:cs="Times New Roman"/>
              </w:rPr>
            </w:pPr>
            <w:r w:rsidRPr="00F27725">
              <w:rPr>
                <w:rFonts w:ascii="Times New Roman" w:hAnsi="Times New Roman" w:cs="Times New Roman"/>
              </w:rPr>
              <w:t>Kramer: Equip 1A &amp; 2A with circuit breakers</w:t>
            </w:r>
          </w:p>
        </w:tc>
        <w:tc>
          <w:tcPr>
            <w:tcW w:w="1440" w:type="dxa"/>
            <w:vAlign w:val="center"/>
          </w:tcPr>
          <w:p w:rsidR="00500E75" w:rsidRPr="00F96FBF" w:rsidRDefault="00500E75" w:rsidP="0007153D">
            <w:pPr>
              <w:jc w:val="center"/>
              <w:rPr>
                <w:rFonts w:ascii="Times New Roman" w:hAnsi="Times New Roman" w:cs="Times New Roman"/>
              </w:rPr>
            </w:pPr>
            <w:r w:rsidRPr="00F96FBF">
              <w:rPr>
                <w:rFonts w:ascii="Times New Roman" w:hAnsi="Times New Roman" w:cs="Times New Roman"/>
              </w:rPr>
              <w:t>0</w:t>
            </w:r>
          </w:p>
        </w:tc>
        <w:tc>
          <w:tcPr>
            <w:tcW w:w="1440" w:type="dxa"/>
            <w:vAlign w:val="center"/>
          </w:tcPr>
          <w:p w:rsidR="00500E75" w:rsidRPr="00F96FBF" w:rsidRDefault="00500E75" w:rsidP="0007153D">
            <w:pPr>
              <w:jc w:val="center"/>
              <w:rPr>
                <w:rFonts w:ascii="Times New Roman" w:hAnsi="Times New Roman" w:cs="Times New Roman"/>
              </w:rPr>
            </w:pPr>
            <w:r>
              <w:rPr>
                <w:rFonts w:ascii="Times New Roman" w:hAnsi="Times New Roman" w:cs="Times New Roman"/>
              </w:rPr>
              <w:t>5.426</w:t>
            </w:r>
          </w:p>
        </w:tc>
      </w:tr>
      <w:tr w:rsidR="00500E75" w:rsidRPr="00F96FBF" w:rsidTr="00A701CB">
        <w:tc>
          <w:tcPr>
            <w:tcW w:w="562" w:type="dxa"/>
          </w:tcPr>
          <w:p w:rsidR="00500E75" w:rsidRDefault="00500E75" w:rsidP="009529D8">
            <w:pPr>
              <w:jc w:val="center"/>
              <w:rPr>
                <w:rFonts w:ascii="Times New Roman" w:hAnsi="Times New Roman" w:cs="Times New Roman"/>
              </w:rPr>
            </w:pPr>
            <w:r>
              <w:rPr>
                <w:rFonts w:ascii="Times New Roman" w:hAnsi="Times New Roman" w:cs="Times New Roman"/>
              </w:rPr>
              <w:t>4</w:t>
            </w:r>
          </w:p>
        </w:tc>
        <w:tc>
          <w:tcPr>
            <w:tcW w:w="940" w:type="dxa"/>
            <w:vAlign w:val="center"/>
          </w:tcPr>
          <w:p w:rsidR="00500E75" w:rsidRPr="00F96FBF" w:rsidRDefault="00500E75" w:rsidP="009529D8">
            <w:pPr>
              <w:jc w:val="center"/>
              <w:rPr>
                <w:rFonts w:ascii="Times New Roman" w:hAnsi="Times New Roman" w:cs="Times New Roman"/>
              </w:rPr>
            </w:pPr>
            <w:r>
              <w:rPr>
                <w:rFonts w:ascii="Times New Roman" w:hAnsi="Times New Roman" w:cs="Times New Roman"/>
              </w:rPr>
              <w:t>7241</w:t>
            </w:r>
          </w:p>
        </w:tc>
        <w:tc>
          <w:tcPr>
            <w:tcW w:w="4658" w:type="dxa"/>
            <w:vAlign w:val="center"/>
          </w:tcPr>
          <w:p w:rsidR="00500E75" w:rsidRPr="00F96FBF" w:rsidRDefault="00500E75" w:rsidP="00F96FBF">
            <w:pPr>
              <w:rPr>
                <w:rFonts w:ascii="Times New Roman" w:hAnsi="Times New Roman" w:cs="Times New Roman"/>
              </w:rPr>
            </w:pPr>
            <w:r w:rsidRPr="00F27725">
              <w:rPr>
                <w:rFonts w:ascii="Times New Roman" w:hAnsi="Times New Roman" w:cs="Times New Roman"/>
              </w:rPr>
              <w:t>Eldorado 500kV Substation</w:t>
            </w:r>
          </w:p>
        </w:tc>
        <w:tc>
          <w:tcPr>
            <w:tcW w:w="1440" w:type="dxa"/>
            <w:vAlign w:val="center"/>
          </w:tcPr>
          <w:p w:rsidR="00500E75" w:rsidRPr="00F96FBF" w:rsidRDefault="00500E75" w:rsidP="00F96FBF">
            <w:pPr>
              <w:jc w:val="center"/>
              <w:rPr>
                <w:rFonts w:ascii="Times New Roman" w:hAnsi="Times New Roman" w:cs="Times New Roman"/>
              </w:rPr>
            </w:pPr>
            <w:r w:rsidRPr="00F96FBF">
              <w:rPr>
                <w:rFonts w:ascii="Times New Roman" w:hAnsi="Times New Roman" w:cs="Times New Roman"/>
              </w:rPr>
              <w:t>0</w:t>
            </w:r>
          </w:p>
        </w:tc>
        <w:tc>
          <w:tcPr>
            <w:tcW w:w="1440" w:type="dxa"/>
            <w:vAlign w:val="center"/>
          </w:tcPr>
          <w:p w:rsidR="00500E75" w:rsidRPr="00F96FBF" w:rsidRDefault="00500E75" w:rsidP="00F96FBF">
            <w:pPr>
              <w:jc w:val="center"/>
              <w:rPr>
                <w:rFonts w:ascii="Times New Roman" w:hAnsi="Times New Roman" w:cs="Times New Roman"/>
              </w:rPr>
            </w:pPr>
            <w:r>
              <w:rPr>
                <w:rFonts w:ascii="Times New Roman" w:hAnsi="Times New Roman" w:cs="Times New Roman"/>
              </w:rPr>
              <w:t>7.574</w:t>
            </w:r>
          </w:p>
        </w:tc>
      </w:tr>
      <w:tr w:rsidR="00500E75" w:rsidRPr="00F96FBF" w:rsidTr="00A701CB">
        <w:tc>
          <w:tcPr>
            <w:tcW w:w="562" w:type="dxa"/>
          </w:tcPr>
          <w:p w:rsidR="00500E75" w:rsidRDefault="008B42BC" w:rsidP="009529D8">
            <w:pPr>
              <w:jc w:val="center"/>
              <w:rPr>
                <w:rFonts w:ascii="Times New Roman" w:hAnsi="Times New Roman" w:cs="Times New Roman"/>
              </w:rPr>
            </w:pPr>
            <w:r>
              <w:rPr>
                <w:rFonts w:ascii="Times New Roman" w:hAnsi="Times New Roman" w:cs="Times New Roman"/>
              </w:rPr>
              <w:t>5</w:t>
            </w:r>
          </w:p>
        </w:tc>
        <w:tc>
          <w:tcPr>
            <w:tcW w:w="940" w:type="dxa"/>
            <w:vAlign w:val="center"/>
          </w:tcPr>
          <w:p w:rsidR="00500E75" w:rsidRPr="00F96FBF" w:rsidRDefault="00500E75" w:rsidP="009529D8">
            <w:pPr>
              <w:jc w:val="center"/>
              <w:rPr>
                <w:rFonts w:ascii="Times New Roman" w:hAnsi="Times New Roman" w:cs="Times New Roman"/>
              </w:rPr>
            </w:pPr>
            <w:r>
              <w:rPr>
                <w:rFonts w:ascii="Times New Roman" w:hAnsi="Times New Roman" w:cs="Times New Roman"/>
              </w:rPr>
              <w:t>6415</w:t>
            </w:r>
          </w:p>
        </w:tc>
        <w:tc>
          <w:tcPr>
            <w:tcW w:w="4658" w:type="dxa"/>
            <w:vAlign w:val="center"/>
          </w:tcPr>
          <w:p w:rsidR="00500E75" w:rsidRPr="00F96FBF" w:rsidRDefault="00500E75" w:rsidP="00F96FBF">
            <w:pPr>
              <w:rPr>
                <w:rFonts w:ascii="Times New Roman" w:hAnsi="Times New Roman" w:cs="Times New Roman"/>
              </w:rPr>
            </w:pPr>
            <w:r>
              <w:rPr>
                <w:rFonts w:ascii="Times New Roman" w:hAnsi="Times New Roman" w:cs="Times New Roman"/>
              </w:rPr>
              <w:t>Path 42 Upgrade</w:t>
            </w:r>
          </w:p>
        </w:tc>
        <w:tc>
          <w:tcPr>
            <w:tcW w:w="1440" w:type="dxa"/>
            <w:vAlign w:val="center"/>
          </w:tcPr>
          <w:p w:rsidR="00500E75" w:rsidRPr="00F96FBF" w:rsidRDefault="00500E75" w:rsidP="00F96FBF">
            <w:pPr>
              <w:jc w:val="center"/>
              <w:rPr>
                <w:rFonts w:ascii="Times New Roman" w:hAnsi="Times New Roman" w:cs="Times New Roman"/>
              </w:rPr>
            </w:pPr>
            <w:r w:rsidRPr="00F96FBF">
              <w:rPr>
                <w:rFonts w:ascii="Times New Roman" w:hAnsi="Times New Roman" w:cs="Times New Roman"/>
              </w:rPr>
              <w:t>0</w:t>
            </w:r>
          </w:p>
        </w:tc>
        <w:tc>
          <w:tcPr>
            <w:tcW w:w="1440" w:type="dxa"/>
            <w:vAlign w:val="center"/>
          </w:tcPr>
          <w:p w:rsidR="00500E75" w:rsidRPr="00F96FBF" w:rsidRDefault="00500E75" w:rsidP="00F96FBF">
            <w:pPr>
              <w:jc w:val="center"/>
              <w:rPr>
                <w:rFonts w:ascii="Times New Roman" w:hAnsi="Times New Roman" w:cs="Times New Roman"/>
              </w:rPr>
            </w:pPr>
            <w:r>
              <w:rPr>
                <w:rFonts w:ascii="Times New Roman" w:hAnsi="Times New Roman" w:cs="Times New Roman"/>
              </w:rPr>
              <w:t>49.388</w:t>
            </w:r>
          </w:p>
        </w:tc>
      </w:tr>
      <w:tr w:rsidR="00500E75" w:rsidRPr="00F96FBF" w:rsidTr="00A701CB">
        <w:tc>
          <w:tcPr>
            <w:tcW w:w="562" w:type="dxa"/>
          </w:tcPr>
          <w:p w:rsidR="00500E75" w:rsidRDefault="008B42BC" w:rsidP="009529D8">
            <w:pPr>
              <w:jc w:val="center"/>
              <w:rPr>
                <w:rFonts w:ascii="Times New Roman" w:hAnsi="Times New Roman" w:cs="Times New Roman"/>
              </w:rPr>
            </w:pPr>
            <w:r>
              <w:rPr>
                <w:rFonts w:ascii="Times New Roman" w:hAnsi="Times New Roman" w:cs="Times New Roman"/>
              </w:rPr>
              <w:t>6</w:t>
            </w:r>
          </w:p>
        </w:tc>
        <w:tc>
          <w:tcPr>
            <w:tcW w:w="940" w:type="dxa"/>
            <w:vAlign w:val="center"/>
          </w:tcPr>
          <w:p w:rsidR="00500E75" w:rsidRPr="00F96FBF" w:rsidRDefault="00500E75" w:rsidP="009529D8">
            <w:pPr>
              <w:jc w:val="center"/>
              <w:rPr>
                <w:rFonts w:ascii="Times New Roman" w:hAnsi="Times New Roman" w:cs="Times New Roman"/>
              </w:rPr>
            </w:pPr>
            <w:r>
              <w:rPr>
                <w:rFonts w:ascii="Times New Roman" w:hAnsi="Times New Roman" w:cs="Times New Roman"/>
              </w:rPr>
              <w:t>4956</w:t>
            </w:r>
          </w:p>
        </w:tc>
        <w:tc>
          <w:tcPr>
            <w:tcW w:w="4658" w:type="dxa"/>
            <w:vAlign w:val="center"/>
          </w:tcPr>
          <w:p w:rsidR="00500E75" w:rsidRPr="00F96FBF" w:rsidRDefault="00500E75" w:rsidP="00F96FBF">
            <w:pPr>
              <w:rPr>
                <w:rFonts w:ascii="Times New Roman" w:hAnsi="Times New Roman" w:cs="Times New Roman"/>
              </w:rPr>
            </w:pPr>
            <w:r>
              <w:rPr>
                <w:rFonts w:ascii="Times New Roman" w:hAnsi="Times New Roman" w:cs="Times New Roman"/>
              </w:rPr>
              <w:t xml:space="preserve">San Joaquin Cross Valley Loop </w:t>
            </w:r>
          </w:p>
        </w:tc>
        <w:tc>
          <w:tcPr>
            <w:tcW w:w="1440" w:type="dxa"/>
            <w:vAlign w:val="center"/>
          </w:tcPr>
          <w:p w:rsidR="00500E75" w:rsidRPr="00F96FBF" w:rsidRDefault="00500E75" w:rsidP="00F96FBF">
            <w:pPr>
              <w:jc w:val="center"/>
              <w:rPr>
                <w:rFonts w:ascii="Times New Roman" w:hAnsi="Times New Roman" w:cs="Times New Roman"/>
              </w:rPr>
            </w:pPr>
            <w:r w:rsidRPr="00F96FBF">
              <w:rPr>
                <w:rFonts w:ascii="Times New Roman" w:hAnsi="Times New Roman" w:cs="Times New Roman"/>
              </w:rPr>
              <w:t>0</w:t>
            </w:r>
          </w:p>
        </w:tc>
        <w:tc>
          <w:tcPr>
            <w:tcW w:w="1440" w:type="dxa"/>
            <w:vAlign w:val="center"/>
          </w:tcPr>
          <w:p w:rsidR="00500E75" w:rsidRPr="00F96FBF" w:rsidRDefault="00500E75" w:rsidP="00F96FBF">
            <w:pPr>
              <w:jc w:val="center"/>
              <w:rPr>
                <w:rFonts w:ascii="Times New Roman" w:hAnsi="Times New Roman" w:cs="Times New Roman"/>
              </w:rPr>
            </w:pPr>
            <w:r>
              <w:rPr>
                <w:rFonts w:ascii="Times New Roman" w:hAnsi="Times New Roman" w:cs="Times New Roman"/>
              </w:rPr>
              <w:t>179.680</w:t>
            </w:r>
          </w:p>
        </w:tc>
      </w:tr>
      <w:tr w:rsidR="00C6195D" w:rsidRPr="00F96FBF" w:rsidTr="00C6195D">
        <w:tc>
          <w:tcPr>
            <w:tcW w:w="562" w:type="dxa"/>
            <w:vAlign w:val="center"/>
          </w:tcPr>
          <w:p w:rsidR="00C6195D" w:rsidRDefault="00C6195D" w:rsidP="00C6195D">
            <w:pPr>
              <w:jc w:val="center"/>
              <w:rPr>
                <w:rFonts w:ascii="Times New Roman" w:hAnsi="Times New Roman" w:cs="Times New Roman"/>
              </w:rPr>
            </w:pPr>
            <w:r>
              <w:rPr>
                <w:rFonts w:ascii="Times New Roman" w:hAnsi="Times New Roman" w:cs="Times New Roman"/>
              </w:rPr>
              <w:t>7</w:t>
            </w:r>
          </w:p>
        </w:tc>
        <w:tc>
          <w:tcPr>
            <w:tcW w:w="940" w:type="dxa"/>
            <w:vAlign w:val="center"/>
          </w:tcPr>
          <w:p w:rsidR="00C6195D" w:rsidRDefault="00C6195D" w:rsidP="0007153D">
            <w:pPr>
              <w:jc w:val="center"/>
              <w:rPr>
                <w:rFonts w:ascii="Times New Roman" w:hAnsi="Times New Roman" w:cs="Times New Roman"/>
              </w:rPr>
            </w:pPr>
            <w:r>
              <w:rPr>
                <w:rFonts w:ascii="Times New Roman" w:hAnsi="Times New Roman" w:cs="Times New Roman"/>
              </w:rPr>
              <w:t>6428</w:t>
            </w:r>
          </w:p>
        </w:tc>
        <w:tc>
          <w:tcPr>
            <w:tcW w:w="4658" w:type="dxa"/>
            <w:vAlign w:val="center"/>
          </w:tcPr>
          <w:p w:rsidR="00C6195D" w:rsidRPr="00F27725" w:rsidRDefault="00C6195D" w:rsidP="006A633B">
            <w:pPr>
              <w:rPr>
                <w:rFonts w:ascii="Times New Roman" w:hAnsi="Times New Roman" w:cs="Times New Roman"/>
              </w:rPr>
            </w:pPr>
            <w:r w:rsidRPr="00C6195D">
              <w:rPr>
                <w:rFonts w:ascii="Times New Roman" w:hAnsi="Times New Roman" w:cs="Times New Roman"/>
              </w:rPr>
              <w:t xml:space="preserve">Centralized Remedial Action Scheme (C-RAS) </w:t>
            </w:r>
          </w:p>
        </w:tc>
        <w:tc>
          <w:tcPr>
            <w:tcW w:w="1440" w:type="dxa"/>
            <w:vAlign w:val="center"/>
          </w:tcPr>
          <w:p w:rsidR="00C6195D" w:rsidRDefault="00C6195D" w:rsidP="0007153D">
            <w:pPr>
              <w:jc w:val="center"/>
              <w:rPr>
                <w:rFonts w:ascii="Times New Roman" w:hAnsi="Times New Roman" w:cs="Times New Roman"/>
              </w:rPr>
            </w:pPr>
            <w:r>
              <w:rPr>
                <w:rFonts w:ascii="Times New Roman" w:hAnsi="Times New Roman" w:cs="Times New Roman"/>
              </w:rPr>
              <w:t>0</w:t>
            </w:r>
          </w:p>
        </w:tc>
        <w:tc>
          <w:tcPr>
            <w:tcW w:w="1440" w:type="dxa"/>
            <w:vAlign w:val="center"/>
          </w:tcPr>
          <w:p w:rsidR="00C6195D" w:rsidRDefault="00C6195D" w:rsidP="0007153D">
            <w:pPr>
              <w:jc w:val="center"/>
              <w:rPr>
                <w:rFonts w:ascii="Times New Roman" w:hAnsi="Times New Roman" w:cs="Times New Roman"/>
              </w:rPr>
            </w:pPr>
            <w:r>
              <w:rPr>
                <w:rFonts w:ascii="Times New Roman" w:hAnsi="Times New Roman" w:cs="Times New Roman"/>
              </w:rPr>
              <w:t>7.886</w:t>
            </w:r>
          </w:p>
        </w:tc>
      </w:tr>
      <w:tr w:rsidR="00500E75" w:rsidRPr="00F96FBF" w:rsidTr="00A701CB">
        <w:tc>
          <w:tcPr>
            <w:tcW w:w="562" w:type="dxa"/>
          </w:tcPr>
          <w:p w:rsidR="00500E75" w:rsidRDefault="00C6195D" w:rsidP="0007153D">
            <w:pPr>
              <w:jc w:val="center"/>
              <w:rPr>
                <w:rFonts w:ascii="Times New Roman" w:hAnsi="Times New Roman" w:cs="Times New Roman"/>
              </w:rPr>
            </w:pPr>
            <w:r>
              <w:rPr>
                <w:rFonts w:ascii="Times New Roman" w:hAnsi="Times New Roman" w:cs="Times New Roman"/>
              </w:rPr>
              <w:t>8</w:t>
            </w:r>
          </w:p>
        </w:tc>
        <w:tc>
          <w:tcPr>
            <w:tcW w:w="940" w:type="dxa"/>
            <w:vAlign w:val="center"/>
          </w:tcPr>
          <w:p w:rsidR="00500E75" w:rsidRPr="00F96FBF" w:rsidRDefault="00500E75" w:rsidP="0007153D">
            <w:pPr>
              <w:jc w:val="center"/>
              <w:rPr>
                <w:rFonts w:ascii="Times New Roman" w:hAnsi="Times New Roman" w:cs="Times New Roman"/>
              </w:rPr>
            </w:pPr>
            <w:r>
              <w:rPr>
                <w:rFonts w:ascii="Times New Roman" w:hAnsi="Times New Roman" w:cs="Times New Roman"/>
              </w:rPr>
              <w:t>7067</w:t>
            </w:r>
          </w:p>
        </w:tc>
        <w:tc>
          <w:tcPr>
            <w:tcW w:w="4658" w:type="dxa"/>
            <w:vAlign w:val="center"/>
          </w:tcPr>
          <w:p w:rsidR="00500E75" w:rsidRPr="00F96FBF" w:rsidRDefault="00500E75" w:rsidP="0007153D">
            <w:pPr>
              <w:rPr>
                <w:rFonts w:ascii="Times New Roman" w:hAnsi="Times New Roman" w:cs="Times New Roman"/>
              </w:rPr>
            </w:pPr>
            <w:r w:rsidRPr="00F27725">
              <w:rPr>
                <w:rFonts w:ascii="Times New Roman" w:hAnsi="Times New Roman" w:cs="Times New Roman"/>
              </w:rPr>
              <w:t>Whirlwind 2nd and 3rd AA Bank</w:t>
            </w:r>
          </w:p>
        </w:tc>
        <w:tc>
          <w:tcPr>
            <w:tcW w:w="1440" w:type="dxa"/>
            <w:vAlign w:val="center"/>
          </w:tcPr>
          <w:p w:rsidR="00500E75" w:rsidRPr="00F96FBF" w:rsidRDefault="008B42BC" w:rsidP="0007153D">
            <w:pPr>
              <w:jc w:val="center"/>
              <w:rPr>
                <w:rFonts w:ascii="Times New Roman" w:hAnsi="Times New Roman" w:cs="Times New Roman"/>
              </w:rPr>
            </w:pPr>
            <w:r>
              <w:rPr>
                <w:rFonts w:ascii="Times New Roman" w:hAnsi="Times New Roman" w:cs="Times New Roman"/>
              </w:rPr>
              <w:t>43.996</w:t>
            </w:r>
          </w:p>
        </w:tc>
        <w:tc>
          <w:tcPr>
            <w:tcW w:w="1440" w:type="dxa"/>
            <w:vAlign w:val="center"/>
          </w:tcPr>
          <w:p w:rsidR="00500E75" w:rsidRPr="00F96FBF" w:rsidRDefault="00500E75" w:rsidP="0007153D">
            <w:pPr>
              <w:jc w:val="center"/>
              <w:rPr>
                <w:rFonts w:ascii="Times New Roman" w:hAnsi="Times New Roman" w:cs="Times New Roman"/>
              </w:rPr>
            </w:pPr>
            <w:r>
              <w:rPr>
                <w:rFonts w:ascii="Times New Roman" w:hAnsi="Times New Roman" w:cs="Times New Roman"/>
              </w:rPr>
              <w:t>0</w:t>
            </w:r>
          </w:p>
        </w:tc>
      </w:tr>
      <w:tr w:rsidR="00500E75" w:rsidRPr="00F96FBF" w:rsidTr="00A701CB">
        <w:tc>
          <w:tcPr>
            <w:tcW w:w="562" w:type="dxa"/>
          </w:tcPr>
          <w:p w:rsidR="00500E75" w:rsidRDefault="00C6195D" w:rsidP="009C41DC">
            <w:pPr>
              <w:jc w:val="center"/>
              <w:rPr>
                <w:rFonts w:ascii="Times New Roman" w:hAnsi="Times New Roman" w:cs="Times New Roman"/>
              </w:rPr>
            </w:pPr>
            <w:r>
              <w:rPr>
                <w:rFonts w:ascii="Times New Roman" w:hAnsi="Times New Roman" w:cs="Times New Roman"/>
              </w:rPr>
              <w:t>9</w:t>
            </w:r>
          </w:p>
        </w:tc>
        <w:tc>
          <w:tcPr>
            <w:tcW w:w="940" w:type="dxa"/>
            <w:vAlign w:val="center"/>
          </w:tcPr>
          <w:p w:rsidR="00500E75" w:rsidRPr="00F96FBF" w:rsidRDefault="00C6195D" w:rsidP="009C41DC">
            <w:pPr>
              <w:jc w:val="center"/>
              <w:rPr>
                <w:rFonts w:ascii="Times New Roman" w:hAnsi="Times New Roman" w:cs="Times New Roman"/>
              </w:rPr>
            </w:pPr>
            <w:r>
              <w:rPr>
                <w:rFonts w:ascii="Times New Roman" w:hAnsi="Times New Roman" w:cs="Times New Roman"/>
              </w:rPr>
              <w:t>6438</w:t>
            </w:r>
          </w:p>
        </w:tc>
        <w:tc>
          <w:tcPr>
            <w:tcW w:w="4658" w:type="dxa"/>
            <w:vAlign w:val="center"/>
          </w:tcPr>
          <w:p w:rsidR="00500E75" w:rsidRPr="00F96FBF" w:rsidRDefault="00500E75" w:rsidP="00F96FBF">
            <w:pPr>
              <w:rPr>
                <w:rFonts w:ascii="Times New Roman" w:hAnsi="Times New Roman" w:cs="Times New Roman"/>
              </w:rPr>
            </w:pPr>
            <w:r>
              <w:rPr>
                <w:rFonts w:ascii="Times New Roman" w:hAnsi="Times New Roman" w:cs="Times New Roman"/>
              </w:rPr>
              <w:t>TRTP</w:t>
            </w:r>
            <w:r w:rsidR="00C6195D">
              <w:rPr>
                <w:rFonts w:ascii="Times New Roman" w:hAnsi="Times New Roman" w:cs="Times New Roman"/>
              </w:rPr>
              <w:t xml:space="preserve"> Segment 7 (portion)</w:t>
            </w:r>
          </w:p>
        </w:tc>
        <w:tc>
          <w:tcPr>
            <w:tcW w:w="1440" w:type="dxa"/>
            <w:vAlign w:val="center"/>
          </w:tcPr>
          <w:p w:rsidR="00500E75" w:rsidRPr="00F96FBF" w:rsidRDefault="00C6195D" w:rsidP="00F96FBF">
            <w:pPr>
              <w:jc w:val="center"/>
              <w:rPr>
                <w:rFonts w:ascii="Times New Roman" w:hAnsi="Times New Roman" w:cs="Times New Roman"/>
              </w:rPr>
            </w:pPr>
            <w:r>
              <w:rPr>
                <w:rFonts w:ascii="Times New Roman" w:hAnsi="Times New Roman" w:cs="Times New Roman"/>
              </w:rPr>
              <w:t>14.172</w:t>
            </w:r>
          </w:p>
        </w:tc>
        <w:tc>
          <w:tcPr>
            <w:tcW w:w="1440" w:type="dxa"/>
            <w:vAlign w:val="center"/>
          </w:tcPr>
          <w:p w:rsidR="00500E75" w:rsidRPr="00F96FBF" w:rsidRDefault="00500E75" w:rsidP="00F96FBF">
            <w:pPr>
              <w:jc w:val="center"/>
              <w:rPr>
                <w:rFonts w:ascii="Times New Roman" w:hAnsi="Times New Roman" w:cs="Times New Roman"/>
              </w:rPr>
            </w:pPr>
            <w:r>
              <w:rPr>
                <w:rFonts w:ascii="Times New Roman" w:hAnsi="Times New Roman" w:cs="Times New Roman"/>
              </w:rPr>
              <w:t>0</w:t>
            </w:r>
          </w:p>
        </w:tc>
      </w:tr>
      <w:tr w:rsidR="00500E75" w:rsidRPr="00F96FBF" w:rsidTr="00A701CB">
        <w:tc>
          <w:tcPr>
            <w:tcW w:w="562" w:type="dxa"/>
          </w:tcPr>
          <w:p w:rsidR="00500E75" w:rsidRPr="00F96FBF" w:rsidRDefault="00500E75" w:rsidP="009529D8">
            <w:pPr>
              <w:jc w:val="center"/>
              <w:rPr>
                <w:rFonts w:ascii="Times New Roman" w:hAnsi="Times New Roman" w:cs="Times New Roman"/>
                <w:b/>
              </w:rPr>
            </w:pPr>
          </w:p>
        </w:tc>
        <w:tc>
          <w:tcPr>
            <w:tcW w:w="940" w:type="dxa"/>
            <w:vAlign w:val="center"/>
          </w:tcPr>
          <w:p w:rsidR="00500E75" w:rsidRPr="00F96FBF" w:rsidRDefault="00500E75" w:rsidP="009529D8">
            <w:pPr>
              <w:jc w:val="center"/>
              <w:rPr>
                <w:rFonts w:ascii="Times New Roman" w:hAnsi="Times New Roman" w:cs="Times New Roman"/>
                <w:b/>
              </w:rPr>
            </w:pPr>
          </w:p>
        </w:tc>
        <w:tc>
          <w:tcPr>
            <w:tcW w:w="4658" w:type="dxa"/>
            <w:vAlign w:val="center"/>
          </w:tcPr>
          <w:p w:rsidR="00500E75" w:rsidRPr="00F96FBF" w:rsidRDefault="00500E75" w:rsidP="00F96FBF">
            <w:pPr>
              <w:rPr>
                <w:rFonts w:ascii="Times New Roman" w:hAnsi="Times New Roman" w:cs="Times New Roman"/>
                <w:b/>
              </w:rPr>
            </w:pPr>
            <w:r w:rsidRPr="00F96FBF">
              <w:rPr>
                <w:rFonts w:ascii="Times New Roman" w:hAnsi="Times New Roman" w:cs="Times New Roman"/>
                <w:b/>
              </w:rPr>
              <w:t>Total</w:t>
            </w:r>
          </w:p>
        </w:tc>
        <w:tc>
          <w:tcPr>
            <w:tcW w:w="1440" w:type="dxa"/>
            <w:vAlign w:val="center"/>
          </w:tcPr>
          <w:p w:rsidR="00500E75" w:rsidRPr="00F96FBF" w:rsidRDefault="00C6195D" w:rsidP="00F96FBF">
            <w:pPr>
              <w:jc w:val="center"/>
              <w:rPr>
                <w:rFonts w:ascii="Times New Roman" w:hAnsi="Times New Roman" w:cs="Times New Roman"/>
                <w:b/>
              </w:rPr>
            </w:pPr>
            <w:r>
              <w:rPr>
                <w:rFonts w:ascii="Times New Roman" w:hAnsi="Times New Roman" w:cs="Times New Roman"/>
                <w:b/>
              </w:rPr>
              <w:t>58.168</w:t>
            </w:r>
          </w:p>
        </w:tc>
        <w:tc>
          <w:tcPr>
            <w:tcW w:w="1440" w:type="dxa"/>
            <w:vAlign w:val="center"/>
          </w:tcPr>
          <w:p w:rsidR="00500E75" w:rsidRPr="00F96FBF" w:rsidRDefault="00C6195D" w:rsidP="00F96FBF">
            <w:pPr>
              <w:jc w:val="center"/>
              <w:rPr>
                <w:rFonts w:ascii="Times New Roman" w:hAnsi="Times New Roman" w:cs="Times New Roman"/>
                <w:b/>
              </w:rPr>
            </w:pPr>
            <w:r>
              <w:rPr>
                <w:rFonts w:ascii="Times New Roman" w:hAnsi="Times New Roman" w:cs="Times New Roman"/>
                <w:b/>
              </w:rPr>
              <w:t>277.337</w:t>
            </w:r>
          </w:p>
        </w:tc>
      </w:tr>
    </w:tbl>
    <w:p w:rsidR="00FB635B" w:rsidRPr="00F96FBF" w:rsidRDefault="00FB635B" w:rsidP="00FB635B">
      <w:pPr>
        <w:spacing w:line="360" w:lineRule="auto"/>
        <w:rPr>
          <w:rFonts w:ascii="Times New Roman" w:hAnsi="Times New Roman" w:cs="Times New Roman"/>
        </w:rPr>
      </w:pPr>
    </w:p>
    <w:p w:rsidR="0093505A" w:rsidRPr="00F96FBF" w:rsidRDefault="00A24DC8" w:rsidP="00FB635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Substation Equipment, Additions &amp; Betterment (</w:t>
      </w:r>
      <w:r w:rsidR="00D469B9" w:rsidRPr="00F96FBF">
        <w:rPr>
          <w:rFonts w:ascii="Times New Roman" w:hAnsi="Times New Roman" w:cs="Times New Roman"/>
          <w:b/>
        </w:rPr>
        <w:t xml:space="preserve">PIN: </w:t>
      </w:r>
      <w:r>
        <w:rPr>
          <w:rFonts w:ascii="Times New Roman" w:hAnsi="Times New Roman" w:cs="Times New Roman"/>
          <w:b/>
        </w:rPr>
        <w:t>4756</w:t>
      </w:r>
      <w:r w:rsidR="00D469B9" w:rsidRPr="00F96FBF">
        <w:rPr>
          <w:rFonts w:ascii="Times New Roman" w:hAnsi="Times New Roman" w:cs="Times New Roman"/>
          <w:b/>
        </w:rPr>
        <w:t>)</w:t>
      </w:r>
      <w:r w:rsidR="004B4377">
        <w:rPr>
          <w:rFonts w:ascii="Times New Roman" w:hAnsi="Times New Roman" w:cs="Times New Roman"/>
          <w:b/>
        </w:rPr>
        <w:t xml:space="preserve"> </w:t>
      </w:r>
    </w:p>
    <w:p w:rsidR="00FB635B" w:rsidRPr="00F96FBF" w:rsidRDefault="00601D3A" w:rsidP="008C1DEE">
      <w:pPr>
        <w:pStyle w:val="heading3Text"/>
        <w:ind w:left="360" w:firstLine="0"/>
      </w:pPr>
      <w:r w:rsidRPr="00A24DC8">
        <w:t xml:space="preserve">Substation </w:t>
      </w:r>
      <w:r>
        <w:t>Equipment, Additions &amp; Betterment</w:t>
      </w:r>
      <w:r w:rsidRPr="00A24DC8">
        <w:t xml:space="preserve"> </w:t>
      </w:r>
      <w:r>
        <w:t xml:space="preserve">and Transformer Bank Replacement Program (PIN: 4331) are part of Substation Infrastructure Replacement and they both </w:t>
      </w:r>
      <w:r w:rsidRPr="00A24DC8">
        <w:t xml:space="preserve">capture the cost </w:t>
      </w:r>
      <w:r w:rsidRPr="00A24DC8">
        <w:lastRenderedPageBreak/>
        <w:t>to remove, replace, and retire assets on a reactive or programmatic basis.  It does not include the costs for preemptive replacement of circuit breakers and substation transformers.  It also does not include preemptive replacement of substation protection and control systems</w:t>
      </w:r>
      <w:r>
        <w:t xml:space="preserve">. </w:t>
      </w:r>
      <w:r w:rsidRPr="00370BB0">
        <w:rPr>
          <w:color w:val="000000"/>
        </w:rPr>
        <w:t xml:space="preserve">Reactive replacements are initiated when substation equipment fails in-service, or when </w:t>
      </w:r>
      <w:r>
        <w:rPr>
          <w:color w:val="000000"/>
        </w:rPr>
        <w:t>an i</w:t>
      </w:r>
      <w:r w:rsidRPr="00370BB0">
        <w:rPr>
          <w:color w:val="000000"/>
        </w:rPr>
        <w:t>nspection</w:t>
      </w:r>
      <w:r>
        <w:rPr>
          <w:color w:val="000000"/>
        </w:rPr>
        <w:t xml:space="preserve"> and maintenance program</w:t>
      </w:r>
      <w:r w:rsidRPr="00370BB0">
        <w:rPr>
          <w:color w:val="000000"/>
        </w:rPr>
        <w:t xml:space="preserve"> indicate</w:t>
      </w:r>
      <w:r>
        <w:rPr>
          <w:color w:val="000000"/>
        </w:rPr>
        <w:t>s</w:t>
      </w:r>
      <w:r w:rsidRPr="00370BB0">
        <w:rPr>
          <w:color w:val="000000"/>
        </w:rPr>
        <w:t xml:space="preserve"> imminent equipment failure or possible safety issues.  These replacements are predominantly like-for-like replacement with limited engineering.  Equipment that is identified as requiring replacement must be replaced in a timely manner because substation equipment failures may lead to prolonged outages, unsafe operating conditions, or more expensive reactive solutions.</w:t>
      </w:r>
      <w:r w:rsidRPr="00F96FBF">
        <w:t xml:space="preserve"> </w:t>
      </w:r>
      <w:r w:rsidR="00AE149C" w:rsidRPr="00F96FBF">
        <w:t xml:space="preserve"> The estimated ISO-related capital expenditures for this program that are expected to be operational in the period January through </w:t>
      </w:r>
      <w:r w:rsidR="00A24DC8">
        <w:t>December 2014</w:t>
      </w:r>
      <w:r w:rsidR="00AE149C" w:rsidRPr="00F96FBF">
        <w:t xml:space="preserve"> are $</w:t>
      </w:r>
      <w:r w:rsidR="00A24DC8">
        <w:t>9.6</w:t>
      </w:r>
      <w:r w:rsidR="00AE149C" w:rsidRPr="00F96FBF">
        <w:t xml:space="preserve"> million.</w:t>
      </w:r>
    </w:p>
    <w:p w:rsidR="00F242A5" w:rsidRPr="00F96FBF" w:rsidRDefault="00F242A5" w:rsidP="00FB635B">
      <w:pPr>
        <w:spacing w:line="360" w:lineRule="auto"/>
        <w:ind w:left="360"/>
        <w:rPr>
          <w:rFonts w:ascii="Times New Roman" w:hAnsi="Times New Roman" w:cs="Times New Roman"/>
        </w:rPr>
      </w:pPr>
    </w:p>
    <w:p w:rsidR="00F242A5" w:rsidRPr="00F96FBF" w:rsidRDefault="00212DAE" w:rsidP="00F242A5">
      <w:pPr>
        <w:pStyle w:val="ListParagraph"/>
        <w:numPr>
          <w:ilvl w:val="0"/>
          <w:numId w:val="2"/>
        </w:numPr>
        <w:spacing w:line="360" w:lineRule="auto"/>
        <w:rPr>
          <w:rFonts w:ascii="Times New Roman" w:hAnsi="Times New Roman" w:cs="Times New Roman"/>
          <w:b/>
        </w:rPr>
      </w:pPr>
      <w:r w:rsidRPr="00F96FBF">
        <w:rPr>
          <w:rFonts w:ascii="Times New Roman" w:hAnsi="Times New Roman" w:cs="Times New Roman"/>
          <w:b/>
        </w:rPr>
        <w:t>Transformer Bank Replacement Program</w:t>
      </w:r>
      <w:r w:rsidR="00F242A5" w:rsidRPr="00F96FBF">
        <w:rPr>
          <w:rFonts w:ascii="Times New Roman" w:hAnsi="Times New Roman" w:cs="Times New Roman"/>
          <w:b/>
        </w:rPr>
        <w:t xml:space="preserve"> (PIN: </w:t>
      </w:r>
      <w:r w:rsidR="008C1DEE">
        <w:rPr>
          <w:rFonts w:ascii="Times New Roman" w:hAnsi="Times New Roman" w:cs="Times New Roman"/>
          <w:b/>
        </w:rPr>
        <w:t>4331</w:t>
      </w:r>
      <w:r w:rsidR="00F242A5" w:rsidRPr="00F96FBF">
        <w:rPr>
          <w:rFonts w:ascii="Times New Roman" w:hAnsi="Times New Roman" w:cs="Times New Roman"/>
          <w:b/>
        </w:rPr>
        <w:t>)</w:t>
      </w:r>
    </w:p>
    <w:p w:rsidR="00F242A5" w:rsidRPr="00F96FBF" w:rsidRDefault="004B4377" w:rsidP="00F242A5">
      <w:pPr>
        <w:pStyle w:val="ListParagraph"/>
        <w:spacing w:line="360" w:lineRule="auto"/>
        <w:ind w:left="360"/>
        <w:rPr>
          <w:rFonts w:ascii="Times New Roman" w:hAnsi="Times New Roman" w:cs="Times New Roman"/>
        </w:rPr>
      </w:pPr>
      <w:r>
        <w:rPr>
          <w:rFonts w:ascii="Times New Roman" w:hAnsi="Times New Roman" w:cs="Times New Roman"/>
        </w:rPr>
        <w:t>See item 1 above for description</w:t>
      </w:r>
      <w:r w:rsidR="00212DAE" w:rsidRPr="00F96FBF">
        <w:rPr>
          <w:rFonts w:ascii="Times New Roman" w:hAnsi="Times New Roman" w:cs="Times New Roman"/>
        </w:rPr>
        <w:t xml:space="preserve">. </w:t>
      </w:r>
      <w:r w:rsidR="00F242A5" w:rsidRPr="00F96FBF">
        <w:rPr>
          <w:rFonts w:ascii="Times New Roman" w:hAnsi="Times New Roman" w:cs="Times New Roman"/>
        </w:rPr>
        <w:t xml:space="preserve">The estimated ISO-related capital expenditures for this program that are expected to be operational in the period </w:t>
      </w:r>
      <w:r>
        <w:rPr>
          <w:rFonts w:ascii="Times New Roman" w:hAnsi="Times New Roman" w:cs="Times New Roman"/>
        </w:rPr>
        <w:t xml:space="preserve">January </w:t>
      </w:r>
      <w:r w:rsidRPr="00F96FBF">
        <w:rPr>
          <w:rFonts w:ascii="Times New Roman" w:hAnsi="Times New Roman" w:cs="Times New Roman"/>
        </w:rPr>
        <w:t>through</w:t>
      </w:r>
      <w:r w:rsidR="00F242A5" w:rsidRPr="00F96FBF">
        <w:rPr>
          <w:rFonts w:ascii="Times New Roman" w:hAnsi="Times New Roman" w:cs="Times New Roman"/>
        </w:rPr>
        <w:t xml:space="preserve"> </w:t>
      </w:r>
      <w:r>
        <w:rPr>
          <w:rFonts w:ascii="Times New Roman" w:hAnsi="Times New Roman" w:cs="Times New Roman"/>
        </w:rPr>
        <w:t xml:space="preserve">December 2014 </w:t>
      </w:r>
      <w:r w:rsidR="00F242A5" w:rsidRPr="00F96FBF">
        <w:rPr>
          <w:rFonts w:ascii="Times New Roman" w:hAnsi="Times New Roman" w:cs="Times New Roman"/>
        </w:rPr>
        <w:t>are $</w:t>
      </w:r>
      <w:r>
        <w:rPr>
          <w:rFonts w:ascii="Times New Roman" w:hAnsi="Times New Roman" w:cs="Times New Roman"/>
        </w:rPr>
        <w:t>17.8</w:t>
      </w:r>
      <w:r w:rsidR="00F242A5" w:rsidRPr="00F96FBF">
        <w:rPr>
          <w:rFonts w:ascii="Times New Roman" w:hAnsi="Times New Roman" w:cs="Times New Roman"/>
        </w:rPr>
        <w:t xml:space="preserve"> million.</w:t>
      </w:r>
    </w:p>
    <w:p w:rsidR="00FB635B" w:rsidRPr="00F96FBF" w:rsidRDefault="00FB635B" w:rsidP="00FB635B">
      <w:pPr>
        <w:spacing w:line="360" w:lineRule="auto"/>
        <w:ind w:left="360"/>
        <w:rPr>
          <w:rFonts w:ascii="Times New Roman" w:hAnsi="Times New Roman" w:cs="Times New Roman"/>
        </w:rPr>
      </w:pPr>
    </w:p>
    <w:p w:rsidR="00BE6D58" w:rsidRPr="0079185B" w:rsidRDefault="008C1DEE" w:rsidP="00FB635B">
      <w:pPr>
        <w:pStyle w:val="ListParagraph"/>
        <w:numPr>
          <w:ilvl w:val="0"/>
          <w:numId w:val="2"/>
        </w:numPr>
        <w:adjustRightInd w:val="0"/>
        <w:snapToGrid w:val="0"/>
        <w:spacing w:line="360" w:lineRule="auto"/>
        <w:rPr>
          <w:rFonts w:ascii="Times New Roman" w:hAnsi="Times New Roman" w:cs="Times New Roman"/>
        </w:rPr>
      </w:pPr>
      <w:r w:rsidRPr="0079185B">
        <w:rPr>
          <w:rFonts w:ascii="Times New Roman" w:hAnsi="Times New Roman" w:cs="Times New Roman"/>
          <w:b/>
        </w:rPr>
        <w:t>Kramer: Equip 1A &amp; 2A with Circuit Breakers</w:t>
      </w:r>
      <w:r w:rsidR="00D469B9" w:rsidRPr="0079185B">
        <w:rPr>
          <w:rFonts w:ascii="Times New Roman" w:hAnsi="Times New Roman" w:cs="Times New Roman"/>
          <w:b/>
        </w:rPr>
        <w:t xml:space="preserve"> (PIN: </w:t>
      </w:r>
      <w:r w:rsidRPr="0079185B">
        <w:rPr>
          <w:rFonts w:ascii="Times New Roman" w:hAnsi="Times New Roman" w:cs="Times New Roman"/>
          <w:b/>
        </w:rPr>
        <w:t>7117</w:t>
      </w:r>
      <w:r w:rsidR="00D469B9" w:rsidRPr="0079185B">
        <w:rPr>
          <w:rFonts w:ascii="Times New Roman" w:hAnsi="Times New Roman" w:cs="Times New Roman"/>
          <w:b/>
        </w:rPr>
        <w:t>)</w:t>
      </w:r>
      <w:r w:rsidR="00BE6D58" w:rsidRPr="0079185B">
        <w:rPr>
          <w:rFonts w:ascii="Times New Roman" w:hAnsi="Times New Roman" w:cs="Times New Roman"/>
          <w:b/>
        </w:rPr>
        <w:t xml:space="preserve"> </w:t>
      </w:r>
    </w:p>
    <w:p w:rsidR="00A66813" w:rsidRDefault="0079185B" w:rsidP="00BE6D58">
      <w:pPr>
        <w:adjustRightInd w:val="0"/>
        <w:snapToGrid w:val="0"/>
        <w:spacing w:line="360" w:lineRule="auto"/>
        <w:ind w:left="360"/>
        <w:rPr>
          <w:rFonts w:ascii="Times New Roman" w:hAnsi="Times New Roman" w:cs="Times New Roman"/>
        </w:rPr>
      </w:pPr>
      <w:r>
        <w:rPr>
          <w:rFonts w:ascii="Times New Roman" w:hAnsi="Times New Roman" w:cs="Times New Roman"/>
        </w:rPr>
        <w:t>Kramer Substation’s No.1 and No.2 230/115 kV transformer banks are currently connected</w:t>
      </w:r>
      <w:r w:rsidR="00D26484">
        <w:rPr>
          <w:rFonts w:ascii="Times New Roman" w:hAnsi="Times New Roman" w:cs="Times New Roman"/>
        </w:rPr>
        <w:t xml:space="preserve"> via a </w:t>
      </w:r>
      <w:r>
        <w:rPr>
          <w:rFonts w:ascii="Times New Roman" w:hAnsi="Times New Roman" w:cs="Times New Roman"/>
        </w:rPr>
        <w:t xml:space="preserve">bank-on-bus configuration. Equipping the banks in circuit breakers configuration would ensure compliance with current planning criteria and guidelines which would offer higher operational flexibility.  </w:t>
      </w:r>
      <w:r w:rsidR="00A66813" w:rsidRPr="00BE6D58">
        <w:rPr>
          <w:rFonts w:ascii="Times New Roman" w:hAnsi="Times New Roman" w:cs="Times New Roman"/>
        </w:rPr>
        <w:t xml:space="preserve">The </w:t>
      </w:r>
      <w:r>
        <w:rPr>
          <w:rFonts w:ascii="Times New Roman" w:hAnsi="Times New Roman" w:cs="Times New Roman"/>
        </w:rPr>
        <w:t xml:space="preserve">proposed in-service date is December 2014 with </w:t>
      </w:r>
      <w:r w:rsidR="00A66813" w:rsidRPr="00BE6D58">
        <w:rPr>
          <w:rFonts w:ascii="Times New Roman" w:hAnsi="Times New Roman" w:cs="Times New Roman"/>
        </w:rPr>
        <w:t xml:space="preserve">estimated </w:t>
      </w:r>
      <w:r>
        <w:rPr>
          <w:rFonts w:ascii="Times New Roman" w:hAnsi="Times New Roman" w:cs="Times New Roman"/>
        </w:rPr>
        <w:t xml:space="preserve">ISO-related direct </w:t>
      </w:r>
      <w:r w:rsidR="00A66813" w:rsidRPr="00BE6D58">
        <w:rPr>
          <w:rFonts w:ascii="Times New Roman" w:hAnsi="Times New Roman" w:cs="Times New Roman"/>
        </w:rPr>
        <w:t xml:space="preserve">capital </w:t>
      </w:r>
      <w:r>
        <w:rPr>
          <w:rFonts w:ascii="Times New Roman" w:hAnsi="Times New Roman" w:cs="Times New Roman"/>
        </w:rPr>
        <w:t>of $5.4 million.</w:t>
      </w:r>
    </w:p>
    <w:p w:rsidR="0079185B" w:rsidRPr="00BE6D58" w:rsidRDefault="0079185B" w:rsidP="00BE6D58">
      <w:pPr>
        <w:adjustRightInd w:val="0"/>
        <w:snapToGrid w:val="0"/>
        <w:spacing w:line="360" w:lineRule="auto"/>
        <w:ind w:left="360"/>
        <w:rPr>
          <w:rFonts w:ascii="Times New Roman" w:hAnsi="Times New Roman" w:cs="Times New Roman"/>
        </w:rPr>
      </w:pPr>
    </w:p>
    <w:p w:rsidR="0015500C" w:rsidRPr="0079185B" w:rsidRDefault="004B4377" w:rsidP="00FB635B">
      <w:pPr>
        <w:pStyle w:val="ListParagraph"/>
        <w:numPr>
          <w:ilvl w:val="0"/>
          <w:numId w:val="2"/>
        </w:numPr>
        <w:spacing w:line="360" w:lineRule="auto"/>
        <w:rPr>
          <w:rFonts w:ascii="Times New Roman" w:hAnsi="Times New Roman" w:cs="Times New Roman"/>
          <w:b/>
        </w:rPr>
      </w:pPr>
      <w:r w:rsidRPr="0079185B">
        <w:rPr>
          <w:rFonts w:ascii="Times New Roman" w:hAnsi="Times New Roman" w:cs="Times New Roman"/>
          <w:b/>
        </w:rPr>
        <w:t>Eldorado 500kV Substation</w:t>
      </w:r>
      <w:r w:rsidR="0079185B" w:rsidRPr="0079185B">
        <w:rPr>
          <w:rFonts w:ascii="Times New Roman" w:hAnsi="Times New Roman" w:cs="Times New Roman"/>
          <w:b/>
        </w:rPr>
        <w:t xml:space="preserve"> Breaker Installation</w:t>
      </w:r>
      <w:r w:rsidR="00F242A5" w:rsidRPr="0079185B">
        <w:rPr>
          <w:rFonts w:ascii="Times New Roman" w:hAnsi="Times New Roman" w:cs="Times New Roman"/>
          <w:b/>
        </w:rPr>
        <w:t xml:space="preserve"> </w:t>
      </w:r>
      <w:r w:rsidR="00D469B9" w:rsidRPr="0079185B">
        <w:rPr>
          <w:rFonts w:ascii="Times New Roman" w:hAnsi="Times New Roman" w:cs="Times New Roman"/>
          <w:b/>
        </w:rPr>
        <w:t xml:space="preserve">(PIN: </w:t>
      </w:r>
      <w:r w:rsidRPr="0079185B">
        <w:rPr>
          <w:rFonts w:ascii="Times New Roman" w:hAnsi="Times New Roman" w:cs="Times New Roman"/>
          <w:b/>
        </w:rPr>
        <w:t>7241</w:t>
      </w:r>
      <w:r w:rsidR="00D469B9" w:rsidRPr="0079185B">
        <w:rPr>
          <w:rFonts w:ascii="Times New Roman" w:hAnsi="Times New Roman" w:cs="Times New Roman"/>
          <w:b/>
        </w:rPr>
        <w:t>)</w:t>
      </w:r>
      <w:r w:rsidR="00BE6D58" w:rsidRPr="0079185B">
        <w:rPr>
          <w:rFonts w:ascii="Times New Roman" w:hAnsi="Times New Roman" w:cs="Times New Roman"/>
          <w:b/>
        </w:rPr>
        <w:t xml:space="preserve"> </w:t>
      </w:r>
    </w:p>
    <w:p w:rsidR="0015500C" w:rsidRPr="00F96FBF" w:rsidRDefault="0079185B" w:rsidP="00FB635B">
      <w:pPr>
        <w:spacing w:line="360" w:lineRule="auto"/>
        <w:ind w:left="360"/>
        <w:rPr>
          <w:rFonts w:ascii="Times New Roman" w:hAnsi="Times New Roman" w:cs="Times New Roman"/>
        </w:rPr>
      </w:pPr>
      <w:r>
        <w:rPr>
          <w:rFonts w:ascii="Times New Roman" w:hAnsi="Times New Roman" w:cs="Times New Roman"/>
        </w:rPr>
        <w:t xml:space="preserve">Eldorado Substation’s No. 3 and No. 4 500/230 kV transformer banks are currently connected to the South and North Buses, respectively, via a bank-on-bus configuration. This configuration violates SCE’s existing Transmission Planning Criteria.  The proposed </w:t>
      </w:r>
      <w:r w:rsidR="00A12263" w:rsidRPr="00F96FBF">
        <w:rPr>
          <w:rFonts w:ascii="Times New Roman" w:hAnsi="Times New Roman" w:cs="Times New Roman"/>
        </w:rPr>
        <w:t xml:space="preserve">project </w:t>
      </w:r>
      <w:r>
        <w:rPr>
          <w:rFonts w:ascii="Times New Roman" w:hAnsi="Times New Roman" w:cs="Times New Roman"/>
        </w:rPr>
        <w:t>adds benefits of improved operational flexibility; simplified future additions; minimization of the loss of station capacity during planned outages and improved selectivity of protection schemes.  The proposed in-service date is December 2014 with estimated ISO-related capital expenditures of $7.6</w:t>
      </w:r>
      <w:r w:rsidR="0015500C" w:rsidRPr="00F96FBF">
        <w:rPr>
          <w:rFonts w:ascii="Times New Roman" w:hAnsi="Times New Roman" w:cs="Times New Roman"/>
        </w:rPr>
        <w:t xml:space="preserve"> million.</w:t>
      </w:r>
    </w:p>
    <w:p w:rsidR="0015500C" w:rsidRPr="00F96FBF" w:rsidRDefault="0015500C" w:rsidP="00FB635B">
      <w:pPr>
        <w:spacing w:line="360" w:lineRule="auto"/>
        <w:ind w:left="360"/>
        <w:rPr>
          <w:rFonts w:ascii="Times New Roman" w:hAnsi="Times New Roman" w:cs="Times New Roman"/>
        </w:rPr>
      </w:pPr>
    </w:p>
    <w:p w:rsidR="00D469B9" w:rsidRPr="00F96FBF" w:rsidRDefault="00EF3B19" w:rsidP="00FB635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lastRenderedPageBreak/>
        <w:t>Path 42 Upgrade</w:t>
      </w:r>
      <w:r w:rsidR="0091587C" w:rsidRPr="00F96FBF">
        <w:rPr>
          <w:rFonts w:ascii="Times New Roman" w:hAnsi="Times New Roman" w:cs="Times New Roman"/>
          <w:b/>
        </w:rPr>
        <w:t xml:space="preserve"> </w:t>
      </w:r>
      <w:r w:rsidR="00D469B9" w:rsidRPr="00F96FBF">
        <w:rPr>
          <w:rFonts w:ascii="Times New Roman" w:hAnsi="Times New Roman" w:cs="Times New Roman"/>
          <w:b/>
        </w:rPr>
        <w:t>(PIN: 641</w:t>
      </w:r>
      <w:r>
        <w:rPr>
          <w:rFonts w:ascii="Times New Roman" w:hAnsi="Times New Roman" w:cs="Times New Roman"/>
          <w:b/>
        </w:rPr>
        <w:t>5</w:t>
      </w:r>
      <w:r w:rsidR="00D469B9" w:rsidRPr="00F96FBF">
        <w:rPr>
          <w:rFonts w:ascii="Times New Roman" w:hAnsi="Times New Roman" w:cs="Times New Roman"/>
          <w:b/>
        </w:rPr>
        <w:t>)</w:t>
      </w:r>
    </w:p>
    <w:p w:rsidR="00601D3A" w:rsidRPr="00601D3A" w:rsidRDefault="00601D3A" w:rsidP="00601D3A">
      <w:pPr>
        <w:spacing w:line="360" w:lineRule="auto"/>
        <w:ind w:left="360"/>
        <w:rPr>
          <w:rFonts w:ascii="Times New Roman" w:hAnsi="Times New Roman" w:cs="Times New Roman"/>
        </w:rPr>
      </w:pPr>
      <w:r w:rsidRPr="00601D3A">
        <w:rPr>
          <w:rFonts w:ascii="Times New Roman" w:hAnsi="Times New Roman" w:cs="Times New Roman"/>
        </w:rPr>
        <w:t>This project will enable WECC’s Path 42 (the sum of flows on Coachella Valley-Devers and Mirage-Ramon) to be able to transfer approximately 1,500 MW by April 30, 2014 from Imperial Irrigation District (IID) to SCE’s portion of the California Independent System Operator (CAISO) controlled grid.  Four transmission lines require upgrades: (1) Devers-Mirage #1 230kV T/L; (2) Devers-Mirage #2 230kV T/L; (3) Mirage-Ramon 230kV T/L (SCE-owned portion); and (4) Mirage-Coachella Valley 230kV T/L (SCE-owned portion).  Additionally, this project will contribute in meeting the RPS goal of 33% of retail load by renewable resources by 2020. The proposed operating date is April 2014 with estimated ISO-related capital expenditures of $49.4 million.</w:t>
      </w:r>
    </w:p>
    <w:p w:rsidR="00FB635B" w:rsidRPr="00F96FBF" w:rsidRDefault="00FB635B" w:rsidP="00FB635B">
      <w:pPr>
        <w:spacing w:line="360" w:lineRule="auto"/>
        <w:ind w:left="360"/>
        <w:rPr>
          <w:rFonts w:ascii="Times New Roman" w:hAnsi="Times New Roman" w:cs="Times New Roman"/>
        </w:rPr>
      </w:pPr>
    </w:p>
    <w:p w:rsidR="00E76144" w:rsidRPr="00F96FBF" w:rsidRDefault="00EF3B19" w:rsidP="00FB635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 xml:space="preserve">San Joaquin Cross Valley Loop </w:t>
      </w:r>
      <w:r w:rsidR="0091587C" w:rsidRPr="00F96FBF">
        <w:rPr>
          <w:rFonts w:ascii="Times New Roman" w:hAnsi="Times New Roman" w:cs="Times New Roman"/>
          <w:b/>
        </w:rPr>
        <w:t xml:space="preserve"> (PIN: </w:t>
      </w:r>
      <w:r>
        <w:rPr>
          <w:rFonts w:ascii="Times New Roman" w:hAnsi="Times New Roman" w:cs="Times New Roman"/>
          <w:b/>
        </w:rPr>
        <w:t>4956</w:t>
      </w:r>
      <w:r w:rsidR="0091587C" w:rsidRPr="00F96FBF">
        <w:rPr>
          <w:rFonts w:ascii="Times New Roman" w:hAnsi="Times New Roman" w:cs="Times New Roman"/>
          <w:b/>
        </w:rPr>
        <w:t>)</w:t>
      </w:r>
    </w:p>
    <w:p w:rsidR="00FB635B" w:rsidRDefault="00601D3A" w:rsidP="00FB635B">
      <w:pPr>
        <w:spacing w:line="360" w:lineRule="auto"/>
        <w:ind w:left="360"/>
        <w:rPr>
          <w:rFonts w:ascii="Times New Roman" w:hAnsi="Times New Roman" w:cs="Times New Roman"/>
        </w:rPr>
      </w:pPr>
      <w:bookmarkStart w:id="1" w:name="OLE_LINK4"/>
      <w:bookmarkStart w:id="2" w:name="OLE_LINK8"/>
      <w:r w:rsidRPr="00CA5550">
        <w:rPr>
          <w:rFonts w:ascii="Times New Roman" w:hAnsi="Times New Roman" w:cs="Times New Roman"/>
        </w:rPr>
        <w:t>The purpose of the San Joaquin Cross</w:t>
      </w:r>
      <w:r>
        <w:rPr>
          <w:rFonts w:ascii="Times New Roman" w:hAnsi="Times New Roman" w:cs="Times New Roman"/>
        </w:rPr>
        <w:t xml:space="preserve"> </w:t>
      </w:r>
      <w:r w:rsidRPr="00CA5550">
        <w:rPr>
          <w:rFonts w:ascii="Times New Roman" w:hAnsi="Times New Roman" w:cs="Times New Roman"/>
        </w:rPr>
        <w:t xml:space="preserve">Valley Loop project is to relieve the overloading of the existing western Big Creek Corridor 230 kV transmission lines.  The project consists of constructing a new 18.5 mile double-circuit 230 kV transmission line that would loop the existing Big Creek 3-Springville 230 kV transmission line into the existing 230 kV Rector substation.  The ISO approved this project in 2004.   </w:t>
      </w:r>
      <w:r>
        <w:rPr>
          <w:rFonts w:ascii="Times New Roman" w:hAnsi="Times New Roman" w:cs="Times New Roman"/>
        </w:rPr>
        <w:t xml:space="preserve"> The proposed operating date is March 2014 with </w:t>
      </w:r>
      <w:r w:rsidRPr="00F96FBF">
        <w:rPr>
          <w:rFonts w:ascii="Times New Roman" w:hAnsi="Times New Roman" w:cs="Times New Roman"/>
        </w:rPr>
        <w:t xml:space="preserve">estimated ISO-related capital expenditures </w:t>
      </w:r>
      <w:r>
        <w:rPr>
          <w:rFonts w:ascii="Times New Roman" w:hAnsi="Times New Roman" w:cs="Times New Roman"/>
        </w:rPr>
        <w:t xml:space="preserve">of </w:t>
      </w:r>
      <w:r w:rsidRPr="00F96FBF">
        <w:rPr>
          <w:rFonts w:ascii="Times New Roman" w:hAnsi="Times New Roman" w:cs="Times New Roman"/>
        </w:rPr>
        <w:t>$1</w:t>
      </w:r>
      <w:r>
        <w:rPr>
          <w:rFonts w:ascii="Times New Roman" w:hAnsi="Times New Roman" w:cs="Times New Roman"/>
        </w:rPr>
        <w:t>79.7</w:t>
      </w:r>
      <w:r w:rsidRPr="00F96FBF">
        <w:rPr>
          <w:rFonts w:ascii="Times New Roman" w:hAnsi="Times New Roman" w:cs="Times New Roman"/>
        </w:rPr>
        <w:t xml:space="preserve"> million</w:t>
      </w:r>
      <w:bookmarkEnd w:id="1"/>
      <w:bookmarkEnd w:id="2"/>
      <w:r w:rsidRPr="00F96FBF">
        <w:rPr>
          <w:rFonts w:ascii="Times New Roman" w:hAnsi="Times New Roman" w:cs="Times New Roman"/>
        </w:rPr>
        <w:t>.</w:t>
      </w:r>
    </w:p>
    <w:p w:rsidR="007B78D9" w:rsidRDefault="007B78D9" w:rsidP="00FB635B">
      <w:pPr>
        <w:spacing w:line="360" w:lineRule="auto"/>
        <w:ind w:left="360"/>
        <w:rPr>
          <w:rFonts w:ascii="Times New Roman" w:hAnsi="Times New Roman" w:cs="Times New Roman"/>
        </w:rPr>
      </w:pPr>
    </w:p>
    <w:p w:rsidR="007B78D9" w:rsidRPr="009D5395" w:rsidRDefault="007B78D9" w:rsidP="007B78D9">
      <w:pPr>
        <w:pStyle w:val="ListParagraph"/>
        <w:numPr>
          <w:ilvl w:val="0"/>
          <w:numId w:val="2"/>
        </w:numPr>
        <w:spacing w:line="360" w:lineRule="auto"/>
        <w:rPr>
          <w:rFonts w:ascii="Times New Roman" w:hAnsi="Times New Roman" w:cs="Times New Roman"/>
          <w:b/>
        </w:rPr>
      </w:pPr>
      <w:r w:rsidRPr="009D5395">
        <w:rPr>
          <w:rFonts w:ascii="Times New Roman" w:hAnsi="Times New Roman" w:cs="Times New Roman"/>
          <w:b/>
        </w:rPr>
        <w:t>Centralized Remedial Action Scheme (C-RAS) Project (PIN: 6428</w:t>
      </w:r>
      <w:r w:rsidR="009D5395">
        <w:rPr>
          <w:rFonts w:ascii="Times New Roman" w:hAnsi="Times New Roman" w:cs="Times New Roman"/>
          <w:b/>
        </w:rPr>
        <w:t>)</w:t>
      </w:r>
    </w:p>
    <w:p w:rsidR="00601D3A" w:rsidRDefault="009D5395" w:rsidP="00FB635B">
      <w:pPr>
        <w:spacing w:line="360" w:lineRule="auto"/>
        <w:ind w:left="360"/>
        <w:rPr>
          <w:rFonts w:ascii="Times New Roman" w:hAnsi="Times New Roman" w:cs="Times New Roman"/>
        </w:rPr>
      </w:pPr>
      <w:r>
        <w:rPr>
          <w:rFonts w:ascii="Times New Roman" w:hAnsi="Times New Roman" w:cs="Times New Roman"/>
        </w:rPr>
        <w:t>SCE is planning the implementation of a comprehensive Centralized Remedial Action Scheme to consolidate and centralize its existing Distributed RASs; to allow the implementation of a forecast additional RASs to interconnect new generators and to accommodate any future new RASs and RAS updates due to system configuration changes. Centralizing these schemes will enable SCE (1) to reduce the amount of equipment installed for each scheme, (2) to reduce the expected increase in travel related to maintenance and other changes, (3) to improve the debugging and resolution of communication errors, and finally, (4) to bring all existing non-compliant RAS without redundant equipment and telecommunication circuits into complete redundancy and in compliance with the new NERC/ WECC RAS Reliability Requirements.  The proposed operating date is December 2014 with estimated ISO-related capital expenditures of $7.9 million.</w:t>
      </w:r>
    </w:p>
    <w:p w:rsidR="009D5395" w:rsidRPr="00F96FBF" w:rsidRDefault="009D5395" w:rsidP="00FB635B">
      <w:pPr>
        <w:spacing w:line="360" w:lineRule="auto"/>
        <w:ind w:left="360"/>
        <w:rPr>
          <w:rFonts w:ascii="Times New Roman" w:hAnsi="Times New Roman" w:cs="Times New Roman"/>
        </w:rPr>
      </w:pPr>
    </w:p>
    <w:p w:rsidR="00EF3B19" w:rsidRPr="00F96FBF" w:rsidRDefault="00EF3B19" w:rsidP="00EF3B19">
      <w:pPr>
        <w:pStyle w:val="ListParagraph"/>
        <w:numPr>
          <w:ilvl w:val="0"/>
          <w:numId w:val="2"/>
        </w:numPr>
        <w:spacing w:line="360" w:lineRule="auto"/>
        <w:rPr>
          <w:rFonts w:ascii="Times New Roman" w:hAnsi="Times New Roman" w:cs="Times New Roman"/>
          <w:b/>
        </w:rPr>
      </w:pPr>
      <w:r w:rsidRPr="00F96FBF">
        <w:rPr>
          <w:rFonts w:ascii="Times New Roman" w:hAnsi="Times New Roman" w:cs="Times New Roman"/>
          <w:b/>
        </w:rPr>
        <w:t>Whirlwind Substation Expansion (PIN: 70</w:t>
      </w:r>
      <w:r>
        <w:rPr>
          <w:rFonts w:ascii="Times New Roman" w:hAnsi="Times New Roman" w:cs="Times New Roman"/>
          <w:b/>
        </w:rPr>
        <w:t>67</w:t>
      </w:r>
      <w:r w:rsidRPr="00F96FBF">
        <w:rPr>
          <w:rFonts w:ascii="Times New Roman" w:hAnsi="Times New Roman" w:cs="Times New Roman"/>
          <w:b/>
        </w:rPr>
        <w:t>)</w:t>
      </w:r>
    </w:p>
    <w:p w:rsidR="0001316C" w:rsidRPr="00601D3A" w:rsidRDefault="00601D3A" w:rsidP="0079185B">
      <w:pPr>
        <w:pStyle w:val="heading5Text"/>
        <w:ind w:left="360" w:firstLine="0"/>
      </w:pPr>
      <w:r w:rsidRPr="003050C4">
        <w:lastRenderedPageBreak/>
        <w:t>Whirlwind Substation is located in Tehachapi.  A new 500/220 kV transformer bank and special protection scheme (SPS) is needed at Whirlwind Substation to increase substation capacity and interconnect new renewable solar generation.</w:t>
      </w:r>
      <w:r w:rsidR="0079185B">
        <w:t xml:space="preserve">  </w:t>
      </w:r>
      <w:r w:rsidRPr="003050C4">
        <w:t>The scope of the project includes installing a new 500/220 kV transformer bank.  One position on the 500 kV switchrack and one position on the 220 kV switchrack at Whirlwind will be equipped each with two circuit breakers and four disconnect switches.  Diverse telecommunication paths and terminal equipment are required at Whirlwind to support the SPS.  Additional renewable generators in the Tehachapi area are expected to sign Large Generator Interconnection Agreements (LGIA) in 2013.  These generators will trigger a third 500/</w:t>
      </w:r>
      <w:r w:rsidRPr="00601D3A">
        <w:t>220 kV transformer bank at Whirlwind Substation and associated circuit breakers and disconnect switches as described above.</w:t>
      </w:r>
      <w:r w:rsidR="0079185B">
        <w:t xml:space="preserve">  </w:t>
      </w:r>
      <w:r w:rsidRPr="00601D3A">
        <w:t xml:space="preserve">The #2AA bank operating date is December 2014 and the #3AA bank operating date is December 2016, with </w:t>
      </w:r>
      <w:r>
        <w:t>estimated ISO related capital expenditures of $44.0 million.</w:t>
      </w:r>
    </w:p>
    <w:p w:rsidR="00601D3A" w:rsidRPr="00601D3A" w:rsidRDefault="00601D3A" w:rsidP="00601D3A">
      <w:pPr>
        <w:spacing w:line="360" w:lineRule="auto"/>
        <w:rPr>
          <w:rFonts w:ascii="Times New Roman" w:hAnsi="Times New Roman" w:cs="Times New Roman"/>
        </w:rPr>
      </w:pPr>
    </w:p>
    <w:p w:rsidR="0091587C" w:rsidRPr="0001316C" w:rsidRDefault="0091587C" w:rsidP="0001316C">
      <w:pPr>
        <w:pStyle w:val="ListParagraph"/>
        <w:numPr>
          <w:ilvl w:val="0"/>
          <w:numId w:val="2"/>
        </w:numPr>
        <w:spacing w:line="360" w:lineRule="auto"/>
        <w:rPr>
          <w:rFonts w:ascii="Times New Roman" w:hAnsi="Times New Roman" w:cs="Times New Roman"/>
          <w:b/>
        </w:rPr>
      </w:pPr>
      <w:r w:rsidRPr="0001316C">
        <w:rPr>
          <w:rFonts w:ascii="Times New Roman" w:hAnsi="Times New Roman" w:cs="Times New Roman"/>
          <w:b/>
        </w:rPr>
        <w:t xml:space="preserve">TRTP </w:t>
      </w:r>
      <w:r w:rsidR="00AD38E7" w:rsidRPr="0001316C">
        <w:rPr>
          <w:rFonts w:ascii="Times New Roman" w:hAnsi="Times New Roman" w:cs="Times New Roman"/>
          <w:b/>
        </w:rPr>
        <w:t>Segment</w:t>
      </w:r>
      <w:r w:rsidR="006E7DB9" w:rsidRPr="0001316C">
        <w:rPr>
          <w:rFonts w:ascii="Times New Roman" w:hAnsi="Times New Roman" w:cs="Times New Roman"/>
          <w:b/>
        </w:rPr>
        <w:t xml:space="preserve"> 7</w:t>
      </w:r>
      <w:r w:rsidR="00AD38E7" w:rsidRPr="0001316C">
        <w:rPr>
          <w:rFonts w:ascii="Times New Roman" w:hAnsi="Times New Roman" w:cs="Times New Roman"/>
          <w:b/>
        </w:rPr>
        <w:t xml:space="preserve"> </w:t>
      </w:r>
      <w:r w:rsidRPr="0001316C">
        <w:rPr>
          <w:rFonts w:ascii="Times New Roman" w:hAnsi="Times New Roman" w:cs="Times New Roman"/>
          <w:b/>
        </w:rPr>
        <w:t>(PIN:</w:t>
      </w:r>
      <w:r w:rsidR="00850E87" w:rsidRPr="0001316C">
        <w:rPr>
          <w:rFonts w:ascii="Times New Roman" w:hAnsi="Times New Roman" w:cs="Times New Roman"/>
          <w:b/>
        </w:rPr>
        <w:t xml:space="preserve"> </w:t>
      </w:r>
      <w:r w:rsidR="006E7DB9" w:rsidRPr="0001316C">
        <w:rPr>
          <w:rFonts w:ascii="Times New Roman" w:hAnsi="Times New Roman" w:cs="Times New Roman"/>
          <w:b/>
        </w:rPr>
        <w:t>6438</w:t>
      </w:r>
      <w:r w:rsidRPr="0001316C">
        <w:rPr>
          <w:rFonts w:ascii="Times New Roman" w:hAnsi="Times New Roman" w:cs="Times New Roman"/>
          <w:b/>
        </w:rPr>
        <w:t xml:space="preserve"> )</w:t>
      </w:r>
    </w:p>
    <w:p w:rsidR="00AD38E7" w:rsidRPr="007B78D9" w:rsidRDefault="007B78D9" w:rsidP="007B78D9">
      <w:pPr>
        <w:spacing w:line="360" w:lineRule="auto"/>
        <w:ind w:left="360"/>
        <w:rPr>
          <w:rFonts w:ascii="Times New Roman" w:hAnsi="Times New Roman" w:cs="Times New Roman"/>
        </w:rPr>
      </w:pPr>
      <w:r w:rsidRPr="007B78D9">
        <w:rPr>
          <w:rFonts w:ascii="Times New Roman" w:hAnsi="Times New Roman" w:cs="Times New Roman"/>
        </w:rPr>
        <w:t xml:space="preserve">Segment 7 of the Vincent-Mira Loma 500 kV transmission line section between Vincent and the Mesa area will be completed by replacing the Vincent-Rio Hondo No.2 220 kV </w:t>
      </w:r>
      <w:r w:rsidRPr="007B78D9">
        <w:rPr>
          <w:rFonts w:ascii="Times New Roman" w:hAnsi="Times New Roman" w:cs="Times New Roman"/>
          <w:shd w:val="clear" w:color="auto" w:fill="FFFFFF"/>
          <w:lang w:val="en"/>
        </w:rPr>
        <w:t>transmission line with 500 kV construction, and upgrading existing transmission near Vincent</w:t>
      </w:r>
      <w:r w:rsidRPr="007B78D9">
        <w:rPr>
          <w:rFonts w:ascii="Times New Roman" w:hAnsi="Times New Roman" w:cs="Times New Roman"/>
        </w:rPr>
        <w:t xml:space="preserve"> and between the city of Duarte and the Mesa area.  The upgrades near Vincent involve removing five miles of the Vincent-Rio Hondo No.2 220 kV single circuit transmission line between Vincent and the Angeles National Forest and replacing it with a new five mile 500 kV single circuit transmission line.  The upgrades between the city of Duarte and the Mesa area involve removal of the remaining section of existing Antelope-Mesa 220 kV and replacing it with approximately 15 miles of new double-circuit 500 kV transmission line section.  In addition, in order to maximize the use of the existing transmission right-of-way, several 66 kV subtransmission lines between the Rio Hondo and Mesa areas need to be relocated to either new right-of-way or SCE franchise</w:t>
      </w:r>
      <w:r w:rsidR="00BE6D58">
        <w:rPr>
          <w:rFonts w:ascii="Times New Roman" w:hAnsi="Times New Roman" w:cs="Times New Roman"/>
        </w:rPr>
        <w:t>. During the Rate Year, New Vincent-Rio Hondo No.2 500 kV transmission line is projected to be in service with estimated ISO-related direct capital expenditures of $14.2 million.</w:t>
      </w:r>
    </w:p>
    <w:p w:rsidR="007B78D9" w:rsidRPr="00F96FBF" w:rsidRDefault="007B78D9" w:rsidP="00AD38E7">
      <w:pPr>
        <w:spacing w:line="360" w:lineRule="auto"/>
        <w:rPr>
          <w:rFonts w:ascii="Times New Roman" w:hAnsi="Times New Roman" w:cs="Times New Roman"/>
        </w:rPr>
      </w:pPr>
    </w:p>
    <w:p w:rsidR="0093505A" w:rsidRPr="00F96FBF" w:rsidRDefault="0093505A" w:rsidP="00FB635B">
      <w:pPr>
        <w:spacing w:line="360" w:lineRule="auto"/>
        <w:rPr>
          <w:rFonts w:ascii="Times New Roman" w:hAnsi="Times New Roman" w:cs="Times New Roman"/>
        </w:rPr>
      </w:pPr>
      <w:r w:rsidRPr="00F96FBF">
        <w:rPr>
          <w:rFonts w:ascii="Times New Roman" w:hAnsi="Times New Roman" w:cs="Times New Roman"/>
        </w:rPr>
        <w:t>For further details, please see</w:t>
      </w:r>
      <w:r w:rsidR="002479DA" w:rsidRPr="00F96FBF">
        <w:rPr>
          <w:rFonts w:ascii="Times New Roman" w:hAnsi="Times New Roman" w:cs="Times New Roman"/>
        </w:rPr>
        <w:t xml:space="preserve"> </w:t>
      </w:r>
      <w:r w:rsidR="004E5E62" w:rsidRPr="00F96FBF">
        <w:rPr>
          <w:rFonts w:ascii="Times New Roman" w:hAnsi="Times New Roman" w:cs="Times New Roman"/>
        </w:rPr>
        <w:t xml:space="preserve">the following </w:t>
      </w:r>
      <w:proofErr w:type="spellStart"/>
      <w:r w:rsidR="004E5E62" w:rsidRPr="00F96FBF">
        <w:rPr>
          <w:rFonts w:ascii="Times New Roman" w:hAnsi="Times New Roman" w:cs="Times New Roman"/>
        </w:rPr>
        <w:t>workpapers</w:t>
      </w:r>
      <w:proofErr w:type="spellEnd"/>
      <w:r w:rsidR="004E5E62" w:rsidRPr="00F96FBF">
        <w:rPr>
          <w:rFonts w:ascii="Times New Roman" w:hAnsi="Times New Roman" w:cs="Times New Roman"/>
        </w:rPr>
        <w:t xml:space="preserve">: </w:t>
      </w:r>
      <w:r w:rsidR="00090267" w:rsidRPr="00F96FBF">
        <w:rPr>
          <w:rFonts w:ascii="Times New Roman" w:hAnsi="Times New Roman" w:cs="Times New Roman"/>
        </w:rPr>
        <w:t>“WP-Schedule 10-Summary of ISO Capital Expenditure Forecast</w:t>
      </w:r>
      <w:r w:rsidR="00110E42">
        <w:rPr>
          <w:rFonts w:ascii="Times New Roman" w:hAnsi="Times New Roman" w:cs="Times New Roman"/>
        </w:rPr>
        <w:t xml:space="preserve"> </w:t>
      </w:r>
      <w:r w:rsidR="00090267" w:rsidRPr="00F96FBF">
        <w:rPr>
          <w:rFonts w:ascii="Times New Roman" w:hAnsi="Times New Roman" w:cs="Times New Roman"/>
        </w:rPr>
        <w:t>-</w:t>
      </w:r>
      <w:r w:rsidR="00110E42">
        <w:rPr>
          <w:rFonts w:ascii="Times New Roman" w:hAnsi="Times New Roman" w:cs="Times New Roman"/>
        </w:rPr>
        <w:t xml:space="preserve"> </w:t>
      </w:r>
      <w:r w:rsidR="00090267" w:rsidRPr="00F96FBF">
        <w:rPr>
          <w:rFonts w:ascii="Times New Roman" w:hAnsi="Times New Roman" w:cs="Times New Roman"/>
        </w:rPr>
        <w:t xml:space="preserve">Incentive Projects”, </w:t>
      </w:r>
      <w:r w:rsidR="002479DA" w:rsidRPr="00F96FBF">
        <w:rPr>
          <w:rFonts w:ascii="Times New Roman" w:hAnsi="Times New Roman" w:cs="Times New Roman"/>
        </w:rPr>
        <w:t>“</w:t>
      </w:r>
      <w:r w:rsidRPr="00F96FBF">
        <w:rPr>
          <w:rFonts w:ascii="Times New Roman" w:hAnsi="Times New Roman" w:cs="Times New Roman"/>
        </w:rPr>
        <w:t>WP-Schedule 16</w:t>
      </w:r>
      <w:r w:rsidR="00090267" w:rsidRPr="00F96FBF">
        <w:rPr>
          <w:rFonts w:ascii="Times New Roman" w:hAnsi="Times New Roman" w:cs="Times New Roman"/>
        </w:rPr>
        <w:t>-Summary of ISO Capital Expenditure</w:t>
      </w:r>
      <w:r w:rsidR="00110E42">
        <w:rPr>
          <w:rFonts w:ascii="Times New Roman" w:hAnsi="Times New Roman" w:cs="Times New Roman"/>
        </w:rPr>
        <w:t xml:space="preserve"> </w:t>
      </w:r>
      <w:r w:rsidR="00090267" w:rsidRPr="00F96FBF">
        <w:rPr>
          <w:rFonts w:ascii="Times New Roman" w:hAnsi="Times New Roman" w:cs="Times New Roman"/>
        </w:rPr>
        <w:t>-</w:t>
      </w:r>
      <w:r w:rsidR="00110E42">
        <w:rPr>
          <w:rFonts w:ascii="Times New Roman" w:hAnsi="Times New Roman" w:cs="Times New Roman"/>
        </w:rPr>
        <w:t xml:space="preserve"> </w:t>
      </w:r>
      <w:r w:rsidR="00090267" w:rsidRPr="00F96FBF">
        <w:rPr>
          <w:rFonts w:ascii="Times New Roman" w:hAnsi="Times New Roman" w:cs="Times New Roman"/>
        </w:rPr>
        <w:t>Non-Incentive Projects</w:t>
      </w:r>
      <w:r w:rsidRPr="00F96FBF">
        <w:rPr>
          <w:rFonts w:ascii="Times New Roman" w:hAnsi="Times New Roman" w:cs="Times New Roman"/>
        </w:rPr>
        <w:t>”</w:t>
      </w:r>
      <w:r w:rsidR="00090267" w:rsidRPr="00F96FBF">
        <w:rPr>
          <w:rFonts w:ascii="Times New Roman" w:hAnsi="Times New Roman" w:cs="Times New Roman"/>
        </w:rPr>
        <w:t>, and “WP-Schedule 16.”</w:t>
      </w:r>
    </w:p>
    <w:sectPr w:rsidR="0093505A" w:rsidRPr="00F96FBF" w:rsidSect="00203C48">
      <w:headerReference w:type="default" r:id="rId9"/>
      <w:pgSz w:w="12240" w:h="15840"/>
      <w:pgMar w:top="2343"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143" w:rsidRDefault="00263143" w:rsidP="00FB635B">
      <w:r>
        <w:separator/>
      </w:r>
    </w:p>
  </w:endnote>
  <w:endnote w:type="continuationSeparator" w:id="0">
    <w:p w:rsidR="00263143" w:rsidRDefault="00263143" w:rsidP="00FB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143" w:rsidRDefault="00263143" w:rsidP="00FB635B">
      <w:r>
        <w:separator/>
      </w:r>
    </w:p>
  </w:footnote>
  <w:footnote w:type="continuationSeparator" w:id="0">
    <w:p w:rsidR="00263143" w:rsidRDefault="00263143" w:rsidP="00FB635B">
      <w:r>
        <w:continuationSeparator/>
      </w:r>
    </w:p>
  </w:footnote>
  <w:footnote w:id="1">
    <w:p w:rsidR="004B6D7C" w:rsidRPr="00F041E2" w:rsidRDefault="004B6D7C">
      <w:pPr>
        <w:pStyle w:val="FootnoteText"/>
        <w:rPr>
          <w:rFonts w:ascii="Times New Roman" w:hAnsi="Times New Roman" w:cs="Times New Roman"/>
        </w:rPr>
      </w:pPr>
      <w:r w:rsidRPr="00F041E2">
        <w:rPr>
          <w:rStyle w:val="FootnoteReference"/>
          <w:rFonts w:ascii="Times New Roman" w:hAnsi="Times New Roman" w:cs="Times New Roman"/>
        </w:rPr>
        <w:footnoteRef/>
      </w:r>
      <w:r w:rsidR="001641EE">
        <w:rPr>
          <w:rFonts w:ascii="Times New Roman" w:hAnsi="Times New Roman" w:cs="Times New Roman"/>
        </w:rPr>
        <w:t xml:space="preserve"> For calculation, </w:t>
      </w:r>
      <w:r w:rsidRPr="00F041E2">
        <w:rPr>
          <w:rFonts w:ascii="Times New Roman" w:hAnsi="Times New Roman" w:cs="Times New Roman"/>
        </w:rPr>
        <w:t xml:space="preserve">see: “WP-Schedule 16-Summary of ISO Capital Expenditure - Non-Incentive Projects” for PINs </w:t>
      </w:r>
      <w:r w:rsidR="00C6195D">
        <w:rPr>
          <w:rFonts w:ascii="Times New Roman" w:hAnsi="Times New Roman" w:cs="Times New Roman"/>
        </w:rPr>
        <w:t>4756, 4331, 7117, 7241, 6415, 4956 and 6428</w:t>
      </w:r>
      <w:r w:rsidRPr="00F041E2">
        <w:rPr>
          <w:rFonts w:ascii="Times New Roman" w:hAnsi="Times New Roman" w:cs="Times New Roman"/>
        </w:rPr>
        <w:t xml:space="preserve">; “WP-Schedule 10-Summary of ISO Capital Expenditure Forecast – Incentive Projects” for </w:t>
      </w:r>
      <w:r>
        <w:rPr>
          <w:rFonts w:ascii="Times New Roman" w:hAnsi="Times New Roman" w:cs="Times New Roman"/>
        </w:rPr>
        <w:t xml:space="preserve">Incentive Projects - </w:t>
      </w:r>
      <w:r w:rsidRPr="00F041E2">
        <w:rPr>
          <w:rFonts w:ascii="Times New Roman" w:hAnsi="Times New Roman" w:cs="Times New Roman"/>
        </w:rPr>
        <w:t>TRTP and Whirlwind.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D86013" w:rsidP="001F10CA">
    <w:pPr>
      <w:pStyle w:val="Header"/>
      <w:jc w:val="right"/>
      <w:rPr>
        <w:rFonts w:ascii="Times New Roman" w:hAnsi="Times New Roman" w:cs="Times New Roman"/>
        <w:b/>
        <w:sz w:val="20"/>
      </w:rPr>
    </w:pPr>
    <w:r>
      <w:rPr>
        <w:rFonts w:ascii="Times New Roman" w:hAnsi="Times New Roman" w:cs="Times New Roman"/>
        <w:b/>
        <w:sz w:val="20"/>
      </w:rPr>
      <w:t>TO8 Annual Update</w:t>
    </w:r>
  </w:p>
  <w:p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Attachment 4</w:t>
    </w:r>
  </w:p>
  <w:p w:rsidR="00203C48"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WP Schedule 10 &amp; 16</w:t>
    </w:r>
  </w:p>
  <w:p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Identification of ISO Projects Above $5M</w:t>
    </w:r>
  </w:p>
  <w:p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noProof/>
        <w:sz w:val="20"/>
      </w:rPr>
      <w:t xml:space="preserve">Page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PAGE  \* Arabic  \* MERGEFORMAT </w:instrText>
    </w:r>
    <w:r w:rsidRPr="00203C48">
      <w:rPr>
        <w:rFonts w:ascii="Times New Roman" w:hAnsi="Times New Roman" w:cs="Times New Roman"/>
        <w:b/>
        <w:noProof/>
        <w:sz w:val="20"/>
      </w:rPr>
      <w:fldChar w:fldCharType="separate"/>
    </w:r>
    <w:r w:rsidR="00D86013">
      <w:rPr>
        <w:rFonts w:ascii="Times New Roman" w:hAnsi="Times New Roman" w:cs="Times New Roman"/>
        <w:b/>
        <w:noProof/>
        <w:sz w:val="20"/>
      </w:rPr>
      <w:t>4</w:t>
    </w:r>
    <w:r w:rsidRPr="00203C48">
      <w:rPr>
        <w:rFonts w:ascii="Times New Roman" w:hAnsi="Times New Roman" w:cs="Times New Roman"/>
        <w:b/>
        <w:noProof/>
        <w:sz w:val="20"/>
      </w:rPr>
      <w:fldChar w:fldCharType="end"/>
    </w:r>
    <w:r w:rsidRPr="00203C48">
      <w:rPr>
        <w:rFonts w:ascii="Times New Roman" w:hAnsi="Times New Roman" w:cs="Times New Roman"/>
        <w:b/>
        <w:noProof/>
        <w:sz w:val="20"/>
      </w:rPr>
      <w:t xml:space="preserve"> of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NUMPAGES  \* Arabic  \* MERGEFORMAT </w:instrText>
    </w:r>
    <w:r w:rsidRPr="00203C48">
      <w:rPr>
        <w:rFonts w:ascii="Times New Roman" w:hAnsi="Times New Roman" w:cs="Times New Roman"/>
        <w:b/>
        <w:noProof/>
        <w:sz w:val="20"/>
      </w:rPr>
      <w:fldChar w:fldCharType="separate"/>
    </w:r>
    <w:r w:rsidR="00D86013">
      <w:rPr>
        <w:rFonts w:ascii="Times New Roman" w:hAnsi="Times New Roman" w:cs="Times New Roman"/>
        <w:b/>
        <w:noProof/>
        <w:sz w:val="20"/>
      </w:rPr>
      <w:t>4</w:t>
    </w:r>
    <w:r w:rsidRPr="00203C48">
      <w:rPr>
        <w:rFonts w:ascii="Times New Roman" w:hAnsi="Times New Roman" w:cs="Times New Roman"/>
        <w:b/>
        <w:noProof/>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A1DE0"/>
    <w:multiLevelType w:val="hybridMultilevel"/>
    <w:tmpl w:val="784C7B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827704"/>
    <w:multiLevelType w:val="hybridMultilevel"/>
    <w:tmpl w:val="620E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2FF485A"/>
    <w:multiLevelType w:val="hybridMultilevel"/>
    <w:tmpl w:val="317CE462"/>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65565057"/>
    <w:multiLevelType w:val="hybridMultilevel"/>
    <w:tmpl w:val="D488E0F8"/>
    <w:lvl w:ilvl="0" w:tplc="04090005">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4">
    <w:nsid w:val="6CCC2166"/>
    <w:multiLevelType w:val="hybridMultilevel"/>
    <w:tmpl w:val="1076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560C4C"/>
    <w:multiLevelType w:val="hybridMultilevel"/>
    <w:tmpl w:val="080CEE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152"/>
    <w:rsid w:val="0001316C"/>
    <w:rsid w:val="00024311"/>
    <w:rsid w:val="00063099"/>
    <w:rsid w:val="00090267"/>
    <w:rsid w:val="000C1A09"/>
    <w:rsid w:val="000C6CC5"/>
    <w:rsid w:val="000D0CCB"/>
    <w:rsid w:val="000D376C"/>
    <w:rsid w:val="00110E42"/>
    <w:rsid w:val="00132182"/>
    <w:rsid w:val="0015500C"/>
    <w:rsid w:val="001641EE"/>
    <w:rsid w:val="001A5F7E"/>
    <w:rsid w:val="001F10CA"/>
    <w:rsid w:val="00203C48"/>
    <w:rsid w:val="00205C10"/>
    <w:rsid w:val="00212DAE"/>
    <w:rsid w:val="002479DA"/>
    <w:rsid w:val="00251EAD"/>
    <w:rsid w:val="00263143"/>
    <w:rsid w:val="00283168"/>
    <w:rsid w:val="002D492B"/>
    <w:rsid w:val="002F0602"/>
    <w:rsid w:val="00334CBE"/>
    <w:rsid w:val="003D7BEC"/>
    <w:rsid w:val="004B4377"/>
    <w:rsid w:val="004B6D7C"/>
    <w:rsid w:val="004D2165"/>
    <w:rsid w:val="004D49B3"/>
    <w:rsid w:val="004E5E62"/>
    <w:rsid w:val="004F1AEA"/>
    <w:rsid w:val="00500E75"/>
    <w:rsid w:val="00530620"/>
    <w:rsid w:val="005571FC"/>
    <w:rsid w:val="00575750"/>
    <w:rsid w:val="005B2E9F"/>
    <w:rsid w:val="005C1152"/>
    <w:rsid w:val="005C3787"/>
    <w:rsid w:val="00601D3A"/>
    <w:rsid w:val="00613C92"/>
    <w:rsid w:val="00617C8B"/>
    <w:rsid w:val="00621BA7"/>
    <w:rsid w:val="0063695F"/>
    <w:rsid w:val="006453C1"/>
    <w:rsid w:val="00654561"/>
    <w:rsid w:val="00667BDC"/>
    <w:rsid w:val="006A633B"/>
    <w:rsid w:val="006E7DB9"/>
    <w:rsid w:val="00761BE4"/>
    <w:rsid w:val="007829FD"/>
    <w:rsid w:val="0079185B"/>
    <w:rsid w:val="00797A1D"/>
    <w:rsid w:val="007A2C78"/>
    <w:rsid w:val="007B78D9"/>
    <w:rsid w:val="007D2299"/>
    <w:rsid w:val="007D2EF4"/>
    <w:rsid w:val="00831717"/>
    <w:rsid w:val="00850E87"/>
    <w:rsid w:val="00862ECA"/>
    <w:rsid w:val="00865524"/>
    <w:rsid w:val="008A478D"/>
    <w:rsid w:val="008B42BC"/>
    <w:rsid w:val="008C1DEE"/>
    <w:rsid w:val="0091587C"/>
    <w:rsid w:val="009309C0"/>
    <w:rsid w:val="0093505A"/>
    <w:rsid w:val="009529D8"/>
    <w:rsid w:val="00957768"/>
    <w:rsid w:val="00986A03"/>
    <w:rsid w:val="00986A2F"/>
    <w:rsid w:val="009958F4"/>
    <w:rsid w:val="009B51E8"/>
    <w:rsid w:val="009C41DC"/>
    <w:rsid w:val="009C5FD1"/>
    <w:rsid w:val="009D5395"/>
    <w:rsid w:val="00A07564"/>
    <w:rsid w:val="00A12263"/>
    <w:rsid w:val="00A24DC8"/>
    <w:rsid w:val="00A62070"/>
    <w:rsid w:val="00A66813"/>
    <w:rsid w:val="00A701CB"/>
    <w:rsid w:val="00AB7963"/>
    <w:rsid w:val="00AD38E7"/>
    <w:rsid w:val="00AE149C"/>
    <w:rsid w:val="00B514FC"/>
    <w:rsid w:val="00BD7300"/>
    <w:rsid w:val="00BE6D58"/>
    <w:rsid w:val="00C05CC5"/>
    <w:rsid w:val="00C43AB7"/>
    <w:rsid w:val="00C4500E"/>
    <w:rsid w:val="00C5446B"/>
    <w:rsid w:val="00C6195D"/>
    <w:rsid w:val="00C820A4"/>
    <w:rsid w:val="00C92D90"/>
    <w:rsid w:val="00CE55D7"/>
    <w:rsid w:val="00CF5731"/>
    <w:rsid w:val="00D26484"/>
    <w:rsid w:val="00D469B9"/>
    <w:rsid w:val="00D66D20"/>
    <w:rsid w:val="00D86013"/>
    <w:rsid w:val="00E4721E"/>
    <w:rsid w:val="00E76144"/>
    <w:rsid w:val="00EB4451"/>
    <w:rsid w:val="00EF3B19"/>
    <w:rsid w:val="00F041E2"/>
    <w:rsid w:val="00F14404"/>
    <w:rsid w:val="00F2305F"/>
    <w:rsid w:val="00F242A5"/>
    <w:rsid w:val="00F27725"/>
    <w:rsid w:val="00F64CB0"/>
    <w:rsid w:val="00F96FBF"/>
    <w:rsid w:val="00FB52E7"/>
    <w:rsid w:val="00FB635B"/>
    <w:rsid w:val="00FB72D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6298">
      <w:bodyDiv w:val="1"/>
      <w:marLeft w:val="0"/>
      <w:marRight w:val="0"/>
      <w:marTop w:val="0"/>
      <w:marBottom w:val="0"/>
      <w:divBdr>
        <w:top w:val="none" w:sz="0" w:space="0" w:color="auto"/>
        <w:left w:val="none" w:sz="0" w:space="0" w:color="auto"/>
        <w:bottom w:val="none" w:sz="0" w:space="0" w:color="auto"/>
        <w:right w:val="none" w:sz="0" w:space="0" w:color="auto"/>
      </w:divBdr>
    </w:div>
    <w:div w:id="665666395">
      <w:bodyDiv w:val="1"/>
      <w:marLeft w:val="0"/>
      <w:marRight w:val="0"/>
      <w:marTop w:val="0"/>
      <w:marBottom w:val="0"/>
      <w:divBdr>
        <w:top w:val="none" w:sz="0" w:space="0" w:color="auto"/>
        <w:left w:val="none" w:sz="0" w:space="0" w:color="auto"/>
        <w:bottom w:val="none" w:sz="0" w:space="0" w:color="auto"/>
        <w:right w:val="none" w:sz="0" w:space="0" w:color="auto"/>
      </w:divBdr>
    </w:div>
    <w:div w:id="855729149">
      <w:bodyDiv w:val="1"/>
      <w:marLeft w:val="0"/>
      <w:marRight w:val="0"/>
      <w:marTop w:val="0"/>
      <w:marBottom w:val="0"/>
      <w:divBdr>
        <w:top w:val="none" w:sz="0" w:space="0" w:color="auto"/>
        <w:left w:val="none" w:sz="0" w:space="0" w:color="auto"/>
        <w:bottom w:val="none" w:sz="0" w:space="0" w:color="auto"/>
        <w:right w:val="none" w:sz="0" w:space="0" w:color="auto"/>
      </w:divBdr>
    </w:div>
    <w:div w:id="1301612248">
      <w:bodyDiv w:val="1"/>
      <w:marLeft w:val="0"/>
      <w:marRight w:val="0"/>
      <w:marTop w:val="0"/>
      <w:marBottom w:val="0"/>
      <w:divBdr>
        <w:top w:val="none" w:sz="0" w:space="0" w:color="auto"/>
        <w:left w:val="none" w:sz="0" w:space="0" w:color="auto"/>
        <w:bottom w:val="none" w:sz="0" w:space="0" w:color="auto"/>
        <w:right w:val="none" w:sz="0" w:space="0" w:color="auto"/>
      </w:divBdr>
    </w:div>
    <w:div w:id="1610963192">
      <w:bodyDiv w:val="1"/>
      <w:marLeft w:val="0"/>
      <w:marRight w:val="0"/>
      <w:marTop w:val="0"/>
      <w:marBottom w:val="0"/>
      <w:divBdr>
        <w:top w:val="none" w:sz="0" w:space="0" w:color="auto"/>
        <w:left w:val="none" w:sz="0" w:space="0" w:color="auto"/>
        <w:bottom w:val="none" w:sz="0" w:space="0" w:color="auto"/>
        <w:right w:val="none" w:sz="0" w:space="0" w:color="auto"/>
      </w:divBdr>
    </w:div>
    <w:div w:id="178580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1406B-FF70-4A14-A379-E24D3BF58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4</Pages>
  <Words>1373</Words>
  <Characters>7744</Characters>
  <Application>Microsoft Office Word</Application>
  <DocSecurity>0</DocSecurity>
  <Lines>368</Lines>
  <Paragraphs>138</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 Configuration</dc:creator>
  <cp:lastModifiedBy>Kim, Jee Young</cp:lastModifiedBy>
  <cp:revision>5</cp:revision>
  <cp:lastPrinted>2013-09-05T23:23:00Z</cp:lastPrinted>
  <dcterms:created xsi:type="dcterms:W3CDTF">2013-09-05T23:21:00Z</dcterms:created>
  <dcterms:modified xsi:type="dcterms:W3CDTF">2013-11-21T16:52:00Z</dcterms:modified>
</cp:coreProperties>
</file>