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2150D" w14:textId="77777777" w:rsidR="00293105" w:rsidRDefault="00293105"/>
    <w:p w14:paraId="5912150E" w14:textId="340DA7BD"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FA30F7">
        <w:rPr>
          <w:b/>
          <w:sz w:val="24"/>
          <w:szCs w:val="24"/>
        </w:rPr>
        <w:t>3</w:t>
      </w:r>
      <w:r w:rsidRPr="00DB79C1">
        <w:rPr>
          <w:b/>
          <w:sz w:val="24"/>
          <w:szCs w:val="24"/>
        </w:rPr>
        <w:t>)</w:t>
      </w:r>
    </w:p>
    <w:p w14:paraId="5912150F" w14:textId="68DB76D4" w:rsidR="00466185" w:rsidRPr="0005729D" w:rsidRDefault="00466185">
      <w:pPr>
        <w:rPr>
          <w:sz w:val="24"/>
          <w:szCs w:val="24"/>
        </w:rPr>
      </w:pPr>
      <w:r w:rsidRPr="0005729D">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05729D" w:rsidRDefault="00466185" w:rsidP="00466185">
      <w:pPr>
        <w:ind w:left="720" w:hanging="720"/>
        <w:rPr>
          <w:sz w:val="24"/>
          <w:szCs w:val="24"/>
        </w:rPr>
      </w:pPr>
      <w:r w:rsidRPr="0005729D">
        <w:rPr>
          <w:sz w:val="24"/>
          <w:szCs w:val="24"/>
        </w:rPr>
        <w:t>Material Accounting Changes are defined in the protocols as:</w:t>
      </w:r>
      <w:r w:rsidRPr="0005729D">
        <w:rPr>
          <w:sz w:val="24"/>
          <w:szCs w:val="24"/>
        </w:rPr>
        <w:tab/>
      </w:r>
      <w:r w:rsidRPr="0005729D">
        <w:rPr>
          <w:sz w:val="24"/>
          <w:szCs w:val="24"/>
        </w:rPr>
        <w:tab/>
      </w:r>
      <w:r w:rsidRPr="0005729D">
        <w:rPr>
          <w:sz w:val="24"/>
          <w:szCs w:val="24"/>
        </w:rPr>
        <w:tab/>
      </w:r>
    </w:p>
    <w:p w14:paraId="59121511" w14:textId="2D8FA148" w:rsidR="00466185" w:rsidRPr="0005729D" w:rsidRDefault="00466185" w:rsidP="00622968">
      <w:pPr>
        <w:ind w:left="720"/>
        <w:rPr>
          <w:rFonts w:ascii="Calibri" w:eastAsia="Times New Roman" w:hAnsi="Calibri" w:cs="Times New Roman"/>
          <w:color w:val="000000"/>
          <w:sz w:val="24"/>
          <w:szCs w:val="24"/>
        </w:rPr>
      </w:pPr>
      <w:r w:rsidRPr="0005729D">
        <w:rPr>
          <w:rFonts w:ascii="Calibri" w:eastAsia="Times New Roman" w:hAnsi="Calibri" w:cs="Times New Roman"/>
          <w:color w:val="000000"/>
          <w:sz w:val="24"/>
          <w:szCs w:val="24"/>
        </w:rPr>
        <w:t>“</w:t>
      </w:r>
      <w:r w:rsidR="00622968" w:rsidRPr="0005729D">
        <w:rPr>
          <w:rFonts w:ascii="Calibri" w:eastAsia="Times New Roman" w:hAnsi="Calibri" w:cs="Times New Roman"/>
          <w:color w:val="000000"/>
          <w:sz w:val="24"/>
          <w:szCs w:val="24"/>
        </w:rPr>
        <w:t>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direction.</w:t>
      </w:r>
      <w:r w:rsidR="00436BFD" w:rsidRPr="0005729D" w:rsidDel="00436BFD">
        <w:rPr>
          <w:rFonts w:ascii="Calibri" w:eastAsia="Times New Roman" w:hAnsi="Calibri" w:cs="Times New Roman"/>
          <w:color w:val="000000"/>
          <w:sz w:val="24"/>
          <w:szCs w:val="24"/>
        </w:rPr>
        <w:t xml:space="preserve"> </w:t>
      </w:r>
    </w:p>
    <w:p w14:paraId="59121512" w14:textId="55051369" w:rsidR="00465536" w:rsidRPr="0005729D" w:rsidRDefault="00127C12" w:rsidP="00733DC0">
      <w:pPr>
        <w:rPr>
          <w:rFonts w:ascii="Calibri" w:eastAsia="Times New Roman" w:hAnsi="Calibri" w:cs="Times New Roman"/>
          <w:color w:val="000000"/>
          <w:sz w:val="24"/>
          <w:szCs w:val="24"/>
        </w:rPr>
      </w:pPr>
      <w:r w:rsidRPr="0005729D">
        <w:rPr>
          <w:rFonts w:ascii="Calibri" w:eastAsia="Times New Roman" w:hAnsi="Calibri" w:cs="Times New Roman"/>
          <w:color w:val="000000"/>
          <w:sz w:val="24"/>
          <w:szCs w:val="24"/>
        </w:rPr>
        <w:t xml:space="preserve">SCE has identified </w:t>
      </w:r>
      <w:r w:rsidR="00FA30F7" w:rsidRPr="0005729D">
        <w:rPr>
          <w:rFonts w:ascii="Calibri" w:eastAsia="Times New Roman" w:hAnsi="Calibri" w:cs="Times New Roman"/>
          <w:color w:val="000000"/>
          <w:sz w:val="24"/>
          <w:szCs w:val="24"/>
        </w:rPr>
        <w:t>the following</w:t>
      </w:r>
      <w:r w:rsidR="00CD4248" w:rsidRPr="0005729D">
        <w:rPr>
          <w:rFonts w:ascii="Calibri" w:eastAsia="Times New Roman" w:hAnsi="Calibri" w:cs="Times New Roman"/>
          <w:color w:val="000000"/>
          <w:sz w:val="24"/>
          <w:szCs w:val="24"/>
        </w:rPr>
        <w:t xml:space="preserve"> </w:t>
      </w:r>
      <w:r w:rsidR="00466185" w:rsidRPr="0005729D">
        <w:rPr>
          <w:rFonts w:ascii="Calibri" w:eastAsia="Times New Roman" w:hAnsi="Calibri" w:cs="Times New Roman"/>
          <w:color w:val="000000"/>
          <w:sz w:val="24"/>
          <w:szCs w:val="24"/>
        </w:rPr>
        <w:t xml:space="preserve">Material Accounting Changes implemented </w:t>
      </w:r>
      <w:r w:rsidRPr="0005729D">
        <w:rPr>
          <w:rFonts w:ascii="Calibri" w:eastAsia="Times New Roman" w:hAnsi="Calibri" w:cs="Times New Roman"/>
          <w:color w:val="000000"/>
          <w:sz w:val="24"/>
          <w:szCs w:val="24"/>
        </w:rPr>
        <w:t>post calendar year</w:t>
      </w:r>
      <w:r w:rsidR="00466185" w:rsidRPr="0005729D">
        <w:rPr>
          <w:rFonts w:ascii="Calibri" w:eastAsia="Times New Roman" w:hAnsi="Calibri" w:cs="Times New Roman"/>
          <w:color w:val="000000"/>
          <w:sz w:val="24"/>
          <w:szCs w:val="24"/>
        </w:rPr>
        <w:t xml:space="preserve"> 20</w:t>
      </w:r>
      <w:r w:rsidR="00AB0136" w:rsidRPr="0005729D">
        <w:rPr>
          <w:rFonts w:ascii="Calibri" w:eastAsia="Times New Roman" w:hAnsi="Calibri" w:cs="Times New Roman"/>
          <w:color w:val="000000"/>
          <w:sz w:val="24"/>
          <w:szCs w:val="24"/>
        </w:rPr>
        <w:t>20</w:t>
      </w:r>
      <w:r w:rsidR="00466185" w:rsidRPr="0005729D">
        <w:rPr>
          <w:rFonts w:ascii="Calibri" w:eastAsia="Times New Roman" w:hAnsi="Calibri" w:cs="Times New Roman"/>
          <w:color w:val="000000"/>
          <w:sz w:val="24"/>
          <w:szCs w:val="24"/>
        </w:rPr>
        <w:t xml:space="preserve"> that impact the recorded 20</w:t>
      </w:r>
      <w:r w:rsidR="00394025" w:rsidRPr="0005729D">
        <w:rPr>
          <w:rFonts w:ascii="Calibri" w:eastAsia="Times New Roman" w:hAnsi="Calibri" w:cs="Times New Roman"/>
          <w:color w:val="000000"/>
          <w:sz w:val="24"/>
          <w:szCs w:val="24"/>
        </w:rPr>
        <w:t>2</w:t>
      </w:r>
      <w:r w:rsidR="00466185" w:rsidRPr="0005729D">
        <w:rPr>
          <w:rFonts w:ascii="Calibri" w:eastAsia="Times New Roman" w:hAnsi="Calibri" w:cs="Times New Roman"/>
          <w:color w:val="000000"/>
          <w:sz w:val="24"/>
          <w:szCs w:val="24"/>
        </w:rPr>
        <w:t xml:space="preserve">1 </w:t>
      </w:r>
      <w:r w:rsidR="00583B54" w:rsidRPr="0005729D">
        <w:rPr>
          <w:rFonts w:ascii="Calibri" w:eastAsia="Times New Roman" w:hAnsi="Calibri" w:cs="Times New Roman"/>
          <w:color w:val="000000"/>
          <w:sz w:val="24"/>
          <w:szCs w:val="24"/>
        </w:rPr>
        <w:t xml:space="preserve">calendar </w:t>
      </w:r>
      <w:r w:rsidR="00466185" w:rsidRPr="0005729D">
        <w:rPr>
          <w:rFonts w:ascii="Calibri" w:eastAsia="Times New Roman" w:hAnsi="Calibri" w:cs="Times New Roman"/>
          <w:color w:val="000000"/>
          <w:sz w:val="24"/>
          <w:szCs w:val="24"/>
        </w:rPr>
        <w:t>year</w:t>
      </w:r>
      <w:r w:rsidR="00394025" w:rsidRPr="0005729D">
        <w:rPr>
          <w:rFonts w:ascii="Calibri" w:eastAsia="Times New Roman" w:hAnsi="Calibri" w:cs="Times New Roman"/>
          <w:color w:val="000000"/>
          <w:sz w:val="24"/>
          <w:szCs w:val="24"/>
        </w:rPr>
        <w:t xml:space="preserve"> expenses</w:t>
      </w:r>
      <w:r w:rsidRPr="0005729D">
        <w:rPr>
          <w:rFonts w:ascii="Calibri" w:eastAsia="Times New Roman" w:hAnsi="Calibri" w:cs="Times New Roman"/>
          <w:color w:val="000000"/>
          <w:sz w:val="24"/>
          <w:szCs w:val="24"/>
        </w:rPr>
        <w:t xml:space="preserve"> and meet the above </w:t>
      </w:r>
      <w:commentRangeStart w:id="0"/>
      <w:r w:rsidRPr="0005729D">
        <w:rPr>
          <w:rFonts w:ascii="Calibri" w:eastAsia="Times New Roman" w:hAnsi="Calibri" w:cs="Times New Roman"/>
          <w:color w:val="000000"/>
          <w:sz w:val="24"/>
          <w:szCs w:val="24"/>
        </w:rPr>
        <w:t>criteria</w:t>
      </w:r>
      <w:commentRangeEnd w:id="0"/>
      <w:r w:rsidR="00C4428A">
        <w:rPr>
          <w:rStyle w:val="CommentReference"/>
        </w:rPr>
        <w:commentReference w:id="0"/>
      </w:r>
      <w:r w:rsidR="00465536" w:rsidRPr="0005729D">
        <w:rPr>
          <w:rFonts w:ascii="Calibri" w:eastAsia="Times New Roman" w:hAnsi="Calibri" w:cs="Times New Roman"/>
          <w:color w:val="000000"/>
          <w:sz w:val="24"/>
          <w:szCs w:val="24"/>
        </w:rPr>
        <w:t>:</w:t>
      </w:r>
    </w:p>
    <w:p w14:paraId="3E7DA980" w14:textId="2281DC04" w:rsidR="00E2442D" w:rsidRPr="0005729D" w:rsidRDefault="00394025" w:rsidP="00FA30F7">
      <w:pPr>
        <w:pStyle w:val="ListParagraph"/>
        <w:numPr>
          <w:ilvl w:val="0"/>
          <w:numId w:val="1"/>
        </w:numPr>
        <w:rPr>
          <w:rFonts w:ascii="Calibri" w:eastAsia="Times New Roman" w:hAnsi="Calibri" w:cs="Times New Roman"/>
          <w:color w:val="000000"/>
          <w:sz w:val="24"/>
          <w:szCs w:val="24"/>
        </w:rPr>
      </w:pPr>
      <w:bookmarkStart w:id="1" w:name="_Hlk80880806"/>
      <w:r w:rsidRPr="0005729D">
        <w:rPr>
          <w:rFonts w:ascii="Calibri" w:eastAsia="Times New Roman" w:hAnsi="Calibri" w:cs="Times New Roman"/>
          <w:color w:val="000000" w:themeColor="text1"/>
          <w:sz w:val="24"/>
          <w:szCs w:val="24"/>
        </w:rPr>
        <w:t xml:space="preserve">Effective </w:t>
      </w:r>
      <w:r w:rsidR="00891882" w:rsidRPr="0005729D">
        <w:rPr>
          <w:rFonts w:ascii="Calibri" w:eastAsia="Times New Roman" w:hAnsi="Calibri" w:cs="Times New Roman"/>
          <w:color w:val="000000" w:themeColor="text1"/>
          <w:sz w:val="24"/>
          <w:szCs w:val="24"/>
        </w:rPr>
        <w:t>January 1, 20</w:t>
      </w:r>
      <w:r w:rsidR="00AB0136" w:rsidRPr="0005729D">
        <w:rPr>
          <w:rFonts w:ascii="Calibri" w:eastAsia="Times New Roman" w:hAnsi="Calibri" w:cs="Times New Roman"/>
          <w:color w:val="000000" w:themeColor="text1"/>
          <w:sz w:val="24"/>
          <w:szCs w:val="24"/>
        </w:rPr>
        <w:t>2</w:t>
      </w:r>
      <w:r w:rsidR="00891882" w:rsidRPr="0005729D">
        <w:rPr>
          <w:rFonts w:ascii="Calibri" w:eastAsia="Times New Roman" w:hAnsi="Calibri" w:cs="Times New Roman"/>
          <w:color w:val="000000" w:themeColor="text1"/>
          <w:sz w:val="24"/>
          <w:szCs w:val="24"/>
        </w:rPr>
        <w:t>1</w:t>
      </w:r>
      <w:r w:rsidR="00E44255" w:rsidRPr="0005729D">
        <w:rPr>
          <w:rFonts w:ascii="Calibri" w:eastAsia="Times New Roman" w:hAnsi="Calibri" w:cs="Times New Roman"/>
          <w:color w:val="000000" w:themeColor="text1"/>
          <w:sz w:val="24"/>
          <w:szCs w:val="24"/>
        </w:rPr>
        <w:t>,</w:t>
      </w:r>
      <w:r w:rsidR="00891882" w:rsidRPr="0005729D">
        <w:rPr>
          <w:rFonts w:ascii="Calibri" w:eastAsia="Times New Roman" w:hAnsi="Calibri" w:cs="Times New Roman"/>
          <w:color w:val="000000" w:themeColor="text1"/>
          <w:sz w:val="24"/>
          <w:szCs w:val="24"/>
        </w:rPr>
        <w:t xml:space="preserve"> SCE </w:t>
      </w:r>
      <w:r w:rsidR="003C7E75" w:rsidRPr="0005729D">
        <w:rPr>
          <w:rFonts w:ascii="Calibri" w:eastAsia="Times New Roman" w:hAnsi="Calibri" w:cs="Times New Roman"/>
          <w:color w:val="000000" w:themeColor="text1"/>
          <w:sz w:val="24"/>
          <w:szCs w:val="24"/>
        </w:rPr>
        <w:t xml:space="preserve">determined a </w:t>
      </w:r>
      <w:r w:rsidR="00891882" w:rsidRPr="0005729D">
        <w:rPr>
          <w:rFonts w:ascii="Calibri" w:eastAsia="Times New Roman" w:hAnsi="Calibri" w:cs="Times New Roman"/>
          <w:color w:val="000000" w:themeColor="text1"/>
          <w:sz w:val="24"/>
          <w:szCs w:val="24"/>
        </w:rPr>
        <w:t xml:space="preserve">new </w:t>
      </w:r>
      <w:r w:rsidR="00E44255" w:rsidRPr="0005729D">
        <w:rPr>
          <w:rFonts w:ascii="Calibri" w:eastAsia="Times New Roman" w:hAnsi="Calibri" w:cs="Times New Roman"/>
          <w:color w:val="000000" w:themeColor="text1"/>
          <w:sz w:val="24"/>
          <w:szCs w:val="24"/>
        </w:rPr>
        <w:t xml:space="preserve">accounting </w:t>
      </w:r>
      <w:r w:rsidR="003C7E75" w:rsidRPr="0005729D">
        <w:rPr>
          <w:rFonts w:ascii="Calibri" w:eastAsia="Times New Roman" w:hAnsi="Calibri" w:cs="Times New Roman"/>
          <w:color w:val="000000" w:themeColor="text1"/>
          <w:sz w:val="24"/>
          <w:szCs w:val="24"/>
        </w:rPr>
        <w:t xml:space="preserve">treatment </w:t>
      </w:r>
      <w:r w:rsidR="00BD3F98" w:rsidRPr="0005729D">
        <w:rPr>
          <w:rFonts w:ascii="Calibri" w:eastAsia="Times New Roman" w:hAnsi="Calibri" w:cs="Times New Roman"/>
          <w:color w:val="000000" w:themeColor="text1"/>
          <w:sz w:val="24"/>
          <w:szCs w:val="24"/>
        </w:rPr>
        <w:t xml:space="preserve">would be appropriate </w:t>
      </w:r>
      <w:r w:rsidRPr="0005729D">
        <w:rPr>
          <w:rFonts w:ascii="Calibri" w:eastAsia="Times New Roman" w:hAnsi="Calibri" w:cs="Times New Roman"/>
          <w:color w:val="000000" w:themeColor="text1"/>
          <w:sz w:val="24"/>
          <w:szCs w:val="24"/>
        </w:rPr>
        <w:t xml:space="preserve">based </w:t>
      </w:r>
      <w:r w:rsidR="00CF2132" w:rsidRPr="0005729D">
        <w:rPr>
          <w:rFonts w:ascii="Calibri" w:eastAsia="Times New Roman" w:hAnsi="Calibri" w:cs="Times New Roman"/>
          <w:color w:val="000000" w:themeColor="text1"/>
          <w:sz w:val="24"/>
          <w:szCs w:val="24"/>
        </w:rPr>
        <w:t xml:space="preserve">upon </w:t>
      </w:r>
      <w:r w:rsidR="00BD3F98" w:rsidRPr="0005729D">
        <w:rPr>
          <w:rFonts w:ascii="Calibri" w:eastAsia="Times New Roman" w:hAnsi="Calibri" w:cs="Times New Roman"/>
          <w:color w:val="000000" w:themeColor="text1"/>
          <w:sz w:val="24"/>
          <w:szCs w:val="24"/>
        </w:rPr>
        <w:t xml:space="preserve">its </w:t>
      </w:r>
      <w:r w:rsidR="003C7E75" w:rsidRPr="0005729D">
        <w:rPr>
          <w:rFonts w:ascii="Calibri" w:eastAsia="Times New Roman" w:hAnsi="Calibri" w:cs="Times New Roman"/>
          <w:color w:val="000000" w:themeColor="text1"/>
          <w:sz w:val="24"/>
          <w:szCs w:val="24"/>
        </w:rPr>
        <w:t>further research</w:t>
      </w:r>
      <w:r w:rsidR="00CF2132" w:rsidRPr="0005729D">
        <w:rPr>
          <w:rFonts w:ascii="Calibri" w:eastAsia="Times New Roman" w:hAnsi="Calibri" w:cs="Times New Roman"/>
          <w:color w:val="000000" w:themeColor="text1"/>
          <w:sz w:val="24"/>
          <w:szCs w:val="24"/>
        </w:rPr>
        <w:t xml:space="preserve"> into the </w:t>
      </w:r>
      <w:r w:rsidR="003C7E75" w:rsidRPr="0005729D">
        <w:rPr>
          <w:rFonts w:ascii="Calibri" w:eastAsia="Times New Roman" w:hAnsi="Calibri" w:cs="Times New Roman"/>
          <w:color w:val="000000" w:themeColor="text1"/>
          <w:sz w:val="24"/>
          <w:szCs w:val="24"/>
        </w:rPr>
        <w:t xml:space="preserve">activities being defined as environmental restoration. </w:t>
      </w:r>
      <w:r w:rsidR="00632E6B" w:rsidRPr="0005729D">
        <w:rPr>
          <w:rFonts w:ascii="Calibri" w:eastAsia="Times New Roman" w:hAnsi="Calibri" w:cs="Times New Roman"/>
          <w:color w:val="000000" w:themeColor="text1"/>
          <w:sz w:val="24"/>
          <w:szCs w:val="24"/>
        </w:rPr>
        <w:t xml:space="preserve"> </w:t>
      </w:r>
      <w:r w:rsidR="003C7E75" w:rsidRPr="0005729D">
        <w:rPr>
          <w:rFonts w:ascii="Calibri" w:eastAsia="Times New Roman" w:hAnsi="Calibri" w:cs="Times New Roman"/>
          <w:color w:val="000000" w:themeColor="text1"/>
          <w:sz w:val="24"/>
          <w:szCs w:val="24"/>
        </w:rPr>
        <w:t xml:space="preserve">Costs representing construction activities are defined by 18 CFR 1.101 Electric Plant Instruction (3) Cost of Construction. Costs incurred to obtain a </w:t>
      </w:r>
      <w:r w:rsidR="00E81511" w:rsidRPr="0005729D">
        <w:rPr>
          <w:rFonts w:ascii="Calibri" w:eastAsia="Times New Roman" w:hAnsi="Calibri" w:cs="Times New Roman"/>
          <w:color w:val="000000" w:themeColor="text1"/>
          <w:sz w:val="24"/>
          <w:szCs w:val="24"/>
        </w:rPr>
        <w:t>permit</w:t>
      </w:r>
      <w:r w:rsidR="00FA621B" w:rsidRPr="0005729D">
        <w:rPr>
          <w:rFonts w:ascii="Calibri" w:eastAsia="Times New Roman" w:hAnsi="Calibri" w:cs="Times New Roman"/>
          <w:color w:val="000000" w:themeColor="text1"/>
          <w:sz w:val="24"/>
          <w:szCs w:val="24"/>
        </w:rPr>
        <w:t xml:space="preserve"> from approving </w:t>
      </w:r>
      <w:r w:rsidR="00C90DA4" w:rsidRPr="0005729D">
        <w:rPr>
          <w:rFonts w:ascii="Calibri" w:eastAsia="Times New Roman" w:hAnsi="Calibri" w:cs="Times New Roman"/>
          <w:color w:val="000000" w:themeColor="text1"/>
          <w:sz w:val="24"/>
          <w:szCs w:val="24"/>
        </w:rPr>
        <w:t xml:space="preserve">local, </w:t>
      </w:r>
      <w:proofErr w:type="gramStart"/>
      <w:r w:rsidR="00792B0F" w:rsidRPr="0005729D">
        <w:rPr>
          <w:rFonts w:ascii="Calibri" w:eastAsia="Times New Roman" w:hAnsi="Calibri" w:cs="Times New Roman"/>
          <w:color w:val="000000" w:themeColor="text1"/>
          <w:sz w:val="24"/>
          <w:szCs w:val="24"/>
        </w:rPr>
        <w:t>state</w:t>
      </w:r>
      <w:proofErr w:type="gramEnd"/>
      <w:r w:rsidR="00792B0F" w:rsidRPr="0005729D">
        <w:rPr>
          <w:rFonts w:ascii="Calibri" w:eastAsia="Times New Roman" w:hAnsi="Calibri" w:cs="Times New Roman"/>
          <w:color w:val="000000" w:themeColor="text1"/>
          <w:sz w:val="24"/>
          <w:szCs w:val="24"/>
        </w:rPr>
        <w:t xml:space="preserve"> or federal agencies </w:t>
      </w:r>
      <w:r w:rsidR="001D7652" w:rsidRPr="0005729D">
        <w:rPr>
          <w:rFonts w:ascii="Calibri" w:eastAsia="Times New Roman" w:hAnsi="Calibri" w:cs="Times New Roman"/>
          <w:color w:val="000000" w:themeColor="text1"/>
          <w:sz w:val="24"/>
          <w:szCs w:val="24"/>
        </w:rPr>
        <w:t xml:space="preserve">often </w:t>
      </w:r>
      <w:r w:rsidR="003C7E75" w:rsidRPr="0005729D">
        <w:rPr>
          <w:rFonts w:ascii="Calibri" w:eastAsia="Times New Roman" w:hAnsi="Calibri" w:cs="Times New Roman"/>
          <w:color w:val="000000" w:themeColor="text1"/>
          <w:sz w:val="24"/>
          <w:szCs w:val="24"/>
        </w:rPr>
        <w:t xml:space="preserve">dictate a variety of required </w:t>
      </w:r>
      <w:r w:rsidR="00792B53" w:rsidRPr="0005729D">
        <w:rPr>
          <w:rFonts w:ascii="Calibri" w:eastAsia="Times New Roman" w:hAnsi="Calibri" w:cs="Times New Roman"/>
          <w:color w:val="000000" w:themeColor="text1"/>
          <w:sz w:val="24"/>
          <w:szCs w:val="24"/>
        </w:rPr>
        <w:t xml:space="preserve">incremental </w:t>
      </w:r>
      <w:r w:rsidR="003C7E75" w:rsidRPr="0005729D">
        <w:rPr>
          <w:rFonts w:ascii="Calibri" w:eastAsia="Times New Roman" w:hAnsi="Calibri" w:cs="Times New Roman"/>
          <w:color w:val="000000" w:themeColor="text1"/>
          <w:sz w:val="24"/>
          <w:szCs w:val="24"/>
        </w:rPr>
        <w:t>activities</w:t>
      </w:r>
      <w:r w:rsidR="00BD3F98" w:rsidRPr="0005729D">
        <w:rPr>
          <w:rFonts w:ascii="Calibri" w:eastAsia="Times New Roman" w:hAnsi="Calibri" w:cs="Times New Roman"/>
          <w:color w:val="000000" w:themeColor="text1"/>
          <w:sz w:val="24"/>
          <w:szCs w:val="24"/>
        </w:rPr>
        <w:t xml:space="preserve"> </w:t>
      </w:r>
      <w:r w:rsidR="00401A11" w:rsidRPr="0005729D">
        <w:rPr>
          <w:rFonts w:ascii="Calibri" w:eastAsia="Times New Roman" w:hAnsi="Calibri" w:cs="Times New Roman"/>
          <w:color w:val="000000" w:themeColor="text1"/>
          <w:sz w:val="24"/>
          <w:szCs w:val="24"/>
        </w:rPr>
        <w:t xml:space="preserve">that must </w:t>
      </w:r>
      <w:r w:rsidR="00BD3F98" w:rsidRPr="0005729D">
        <w:rPr>
          <w:rFonts w:ascii="Calibri" w:eastAsia="Times New Roman" w:hAnsi="Calibri" w:cs="Times New Roman"/>
          <w:color w:val="000000" w:themeColor="text1"/>
          <w:sz w:val="24"/>
          <w:szCs w:val="24"/>
        </w:rPr>
        <w:t xml:space="preserve">be performed </w:t>
      </w:r>
      <w:r w:rsidR="00401A11" w:rsidRPr="0005729D">
        <w:rPr>
          <w:rFonts w:ascii="Calibri" w:eastAsia="Times New Roman" w:hAnsi="Calibri" w:cs="Times New Roman"/>
          <w:color w:val="000000" w:themeColor="text1"/>
          <w:sz w:val="24"/>
          <w:szCs w:val="24"/>
        </w:rPr>
        <w:t>as a condition to construct</w:t>
      </w:r>
      <w:r w:rsidR="00BD3F98" w:rsidRPr="0005729D">
        <w:rPr>
          <w:rFonts w:ascii="Calibri" w:eastAsia="Times New Roman" w:hAnsi="Calibri" w:cs="Times New Roman"/>
          <w:color w:val="000000" w:themeColor="text1"/>
          <w:sz w:val="24"/>
          <w:szCs w:val="24"/>
        </w:rPr>
        <w:t xml:space="preserve"> a transmission project.  These activities </w:t>
      </w:r>
      <w:r w:rsidR="003C7E75" w:rsidRPr="0005729D">
        <w:rPr>
          <w:rFonts w:ascii="Calibri" w:eastAsia="Times New Roman" w:hAnsi="Calibri" w:cs="Times New Roman"/>
          <w:color w:val="000000" w:themeColor="text1"/>
          <w:sz w:val="24"/>
          <w:szCs w:val="24"/>
        </w:rPr>
        <w:t>qualify for capitalization and should be treated as such</w:t>
      </w:r>
      <w:r w:rsidR="00CF2132" w:rsidRPr="0005729D">
        <w:rPr>
          <w:rFonts w:ascii="Calibri" w:eastAsia="Times New Roman" w:hAnsi="Calibri" w:cs="Times New Roman"/>
          <w:color w:val="000000" w:themeColor="text1"/>
          <w:sz w:val="24"/>
          <w:szCs w:val="24"/>
        </w:rPr>
        <w:t xml:space="preserve"> even if the activities performed are after the initial in-service date for many years</w:t>
      </w:r>
      <w:r w:rsidR="003C7E75" w:rsidRPr="0005729D">
        <w:rPr>
          <w:rFonts w:ascii="Calibri" w:eastAsia="Times New Roman" w:hAnsi="Calibri" w:cs="Times New Roman"/>
          <w:color w:val="000000" w:themeColor="text1"/>
          <w:sz w:val="24"/>
          <w:szCs w:val="24"/>
        </w:rPr>
        <w:t>.</w:t>
      </w:r>
      <w:r w:rsidR="00CF2132" w:rsidRPr="0005729D">
        <w:rPr>
          <w:rFonts w:ascii="Calibri" w:eastAsia="Times New Roman" w:hAnsi="Calibri" w:cs="Times New Roman"/>
          <w:color w:val="000000" w:themeColor="text1"/>
          <w:sz w:val="24"/>
          <w:szCs w:val="24"/>
        </w:rPr>
        <w:t xml:space="preserve"> </w:t>
      </w:r>
      <w:r w:rsidR="00BD3F98" w:rsidRPr="0005729D">
        <w:rPr>
          <w:rFonts w:ascii="Calibri" w:eastAsia="Times New Roman" w:hAnsi="Calibri" w:cs="Times New Roman"/>
          <w:color w:val="000000" w:themeColor="text1"/>
          <w:sz w:val="24"/>
          <w:szCs w:val="24"/>
        </w:rPr>
        <w:t xml:space="preserve"> </w:t>
      </w:r>
      <w:r w:rsidR="00CF2132" w:rsidRPr="0005729D">
        <w:rPr>
          <w:rFonts w:ascii="Calibri" w:eastAsia="Times New Roman" w:hAnsi="Calibri" w:cs="Times New Roman"/>
          <w:color w:val="000000" w:themeColor="text1"/>
          <w:sz w:val="24"/>
          <w:szCs w:val="24"/>
        </w:rPr>
        <w:t xml:space="preserve">In the past, </w:t>
      </w:r>
      <w:r w:rsidR="00BD3F98" w:rsidRPr="0005729D">
        <w:rPr>
          <w:rFonts w:ascii="Calibri" w:eastAsia="Times New Roman" w:hAnsi="Calibri" w:cs="Times New Roman"/>
          <w:color w:val="000000" w:themeColor="text1"/>
          <w:sz w:val="24"/>
          <w:szCs w:val="24"/>
        </w:rPr>
        <w:t>SCE</w:t>
      </w:r>
      <w:r w:rsidR="00CF2132" w:rsidRPr="0005729D">
        <w:rPr>
          <w:rFonts w:ascii="Calibri" w:eastAsia="Times New Roman" w:hAnsi="Calibri" w:cs="Times New Roman"/>
          <w:color w:val="000000" w:themeColor="text1"/>
          <w:sz w:val="24"/>
          <w:szCs w:val="24"/>
        </w:rPr>
        <w:t xml:space="preserve"> determined that these costs would be considered </w:t>
      </w:r>
      <w:r w:rsidR="00BD3F98" w:rsidRPr="0005729D">
        <w:rPr>
          <w:rFonts w:ascii="Calibri" w:eastAsia="Times New Roman" w:hAnsi="Calibri" w:cs="Times New Roman"/>
          <w:color w:val="000000" w:themeColor="text1"/>
          <w:sz w:val="24"/>
          <w:szCs w:val="24"/>
        </w:rPr>
        <w:t xml:space="preserve">as an </w:t>
      </w:r>
      <w:r w:rsidR="00CF2132" w:rsidRPr="0005729D">
        <w:rPr>
          <w:rFonts w:ascii="Calibri" w:eastAsia="Times New Roman" w:hAnsi="Calibri" w:cs="Times New Roman"/>
          <w:color w:val="000000" w:themeColor="text1"/>
          <w:sz w:val="24"/>
          <w:szCs w:val="24"/>
        </w:rPr>
        <w:t>expense after one year of</w:t>
      </w:r>
      <w:r w:rsidR="00BD3F98" w:rsidRPr="0005729D">
        <w:rPr>
          <w:rFonts w:ascii="Calibri" w:eastAsia="Times New Roman" w:hAnsi="Calibri" w:cs="Times New Roman"/>
          <w:color w:val="000000" w:themeColor="text1"/>
          <w:sz w:val="24"/>
          <w:szCs w:val="24"/>
        </w:rPr>
        <w:t xml:space="preserve"> a project’s</w:t>
      </w:r>
      <w:r w:rsidR="00CF2132" w:rsidRPr="0005729D">
        <w:rPr>
          <w:rFonts w:ascii="Calibri" w:eastAsia="Times New Roman" w:hAnsi="Calibri" w:cs="Times New Roman"/>
          <w:color w:val="000000" w:themeColor="text1"/>
          <w:sz w:val="24"/>
          <w:szCs w:val="24"/>
        </w:rPr>
        <w:t xml:space="preserve"> initial in-service date</w:t>
      </w:r>
      <w:r w:rsidR="007648B9" w:rsidRPr="0005729D">
        <w:rPr>
          <w:rFonts w:ascii="Calibri" w:eastAsia="Times New Roman" w:hAnsi="Calibri" w:cs="Times New Roman"/>
          <w:color w:val="000000" w:themeColor="text1"/>
          <w:sz w:val="24"/>
          <w:szCs w:val="24"/>
        </w:rPr>
        <w:t>.  H</w:t>
      </w:r>
      <w:r w:rsidR="00CF2132" w:rsidRPr="0005729D">
        <w:rPr>
          <w:rFonts w:ascii="Calibri" w:eastAsia="Times New Roman" w:hAnsi="Calibri" w:cs="Times New Roman"/>
          <w:color w:val="000000" w:themeColor="text1"/>
          <w:sz w:val="24"/>
          <w:szCs w:val="24"/>
        </w:rPr>
        <w:t>owever, because these costs qualify as capital</w:t>
      </w:r>
      <w:r w:rsidR="00BD3F98" w:rsidRPr="0005729D">
        <w:rPr>
          <w:rFonts w:ascii="Calibri" w:eastAsia="Times New Roman" w:hAnsi="Calibri" w:cs="Times New Roman"/>
          <w:color w:val="000000" w:themeColor="text1"/>
          <w:sz w:val="24"/>
          <w:szCs w:val="24"/>
        </w:rPr>
        <w:t xml:space="preserve"> under the provision noted </w:t>
      </w:r>
      <w:proofErr w:type="gramStart"/>
      <w:r w:rsidR="00BD3F98" w:rsidRPr="0005729D">
        <w:rPr>
          <w:rFonts w:ascii="Calibri" w:eastAsia="Times New Roman" w:hAnsi="Calibri" w:cs="Times New Roman"/>
          <w:color w:val="000000" w:themeColor="text1"/>
          <w:sz w:val="24"/>
          <w:szCs w:val="24"/>
        </w:rPr>
        <w:t>above</w:t>
      </w:r>
      <w:r w:rsidR="007648B9" w:rsidRPr="0005729D">
        <w:rPr>
          <w:rFonts w:ascii="Calibri" w:eastAsia="Times New Roman" w:hAnsi="Calibri" w:cs="Times New Roman"/>
          <w:color w:val="000000" w:themeColor="text1"/>
          <w:sz w:val="24"/>
          <w:szCs w:val="24"/>
        </w:rPr>
        <w:t>,</w:t>
      </w:r>
      <w:r w:rsidR="00CF2132" w:rsidRPr="0005729D">
        <w:rPr>
          <w:rFonts w:ascii="Calibri" w:eastAsia="Times New Roman" w:hAnsi="Calibri" w:cs="Times New Roman"/>
          <w:color w:val="000000" w:themeColor="text1"/>
          <w:sz w:val="24"/>
          <w:szCs w:val="24"/>
        </w:rPr>
        <w:t xml:space="preserve"> and</w:t>
      </w:r>
      <w:proofErr w:type="gramEnd"/>
      <w:r w:rsidR="00CF2132" w:rsidRPr="0005729D">
        <w:rPr>
          <w:rFonts w:ascii="Calibri" w:eastAsia="Times New Roman" w:hAnsi="Calibri" w:cs="Times New Roman"/>
          <w:color w:val="000000" w:themeColor="text1"/>
          <w:sz w:val="24"/>
          <w:szCs w:val="24"/>
        </w:rPr>
        <w:t xml:space="preserve"> </w:t>
      </w:r>
      <w:r w:rsidR="00BD3F98" w:rsidRPr="0005729D">
        <w:rPr>
          <w:rFonts w:ascii="Calibri" w:eastAsia="Times New Roman" w:hAnsi="Calibri" w:cs="Times New Roman"/>
          <w:color w:val="000000" w:themeColor="text1"/>
          <w:sz w:val="24"/>
          <w:szCs w:val="24"/>
        </w:rPr>
        <w:t xml:space="preserve">are an integral </w:t>
      </w:r>
      <w:r w:rsidR="00CF2132" w:rsidRPr="0005729D">
        <w:rPr>
          <w:rFonts w:ascii="Calibri" w:eastAsia="Times New Roman" w:hAnsi="Calibri" w:cs="Times New Roman"/>
          <w:color w:val="000000" w:themeColor="text1"/>
          <w:sz w:val="24"/>
          <w:szCs w:val="24"/>
        </w:rPr>
        <w:t xml:space="preserve">part of construction </w:t>
      </w:r>
      <w:r w:rsidR="00BD3F98" w:rsidRPr="0005729D">
        <w:rPr>
          <w:rFonts w:ascii="Calibri" w:eastAsia="Times New Roman" w:hAnsi="Calibri" w:cs="Times New Roman"/>
          <w:color w:val="000000" w:themeColor="text1"/>
          <w:sz w:val="24"/>
          <w:szCs w:val="24"/>
        </w:rPr>
        <w:t xml:space="preserve">of a transmission project </w:t>
      </w:r>
      <w:r w:rsidR="00632E6B" w:rsidRPr="0005729D">
        <w:rPr>
          <w:rFonts w:ascii="Calibri" w:eastAsia="Times New Roman" w:hAnsi="Calibri" w:cs="Times New Roman"/>
          <w:color w:val="000000" w:themeColor="text1"/>
          <w:sz w:val="24"/>
          <w:szCs w:val="24"/>
        </w:rPr>
        <w:t xml:space="preserve">even if they occur </w:t>
      </w:r>
      <w:r w:rsidR="00CF2132" w:rsidRPr="0005729D">
        <w:rPr>
          <w:rFonts w:ascii="Calibri" w:eastAsia="Times New Roman" w:hAnsi="Calibri" w:cs="Times New Roman"/>
          <w:color w:val="000000" w:themeColor="text1"/>
          <w:sz w:val="24"/>
          <w:szCs w:val="24"/>
        </w:rPr>
        <w:t>well after a year of in-service</w:t>
      </w:r>
      <w:r w:rsidR="007648B9" w:rsidRPr="0005729D">
        <w:rPr>
          <w:rFonts w:ascii="Calibri" w:eastAsia="Times New Roman" w:hAnsi="Calibri" w:cs="Times New Roman"/>
          <w:color w:val="000000" w:themeColor="text1"/>
          <w:sz w:val="24"/>
          <w:szCs w:val="24"/>
        </w:rPr>
        <w:t>,</w:t>
      </w:r>
      <w:r w:rsidR="00CF2132" w:rsidRPr="0005729D">
        <w:rPr>
          <w:rFonts w:ascii="Calibri" w:eastAsia="Times New Roman" w:hAnsi="Calibri" w:cs="Times New Roman"/>
          <w:color w:val="000000" w:themeColor="text1"/>
          <w:sz w:val="24"/>
          <w:szCs w:val="24"/>
        </w:rPr>
        <w:t xml:space="preserve"> they will be treated as capital</w:t>
      </w:r>
      <w:r w:rsidR="007648B9" w:rsidRPr="0005729D">
        <w:rPr>
          <w:rFonts w:ascii="Calibri" w:eastAsia="Times New Roman" w:hAnsi="Calibri" w:cs="Times New Roman"/>
          <w:color w:val="000000" w:themeColor="text1"/>
          <w:sz w:val="24"/>
          <w:szCs w:val="24"/>
        </w:rPr>
        <w:t xml:space="preserve"> as of 2021</w:t>
      </w:r>
      <w:r w:rsidR="00CF2132" w:rsidRPr="0005729D">
        <w:rPr>
          <w:rFonts w:ascii="Calibri" w:eastAsia="Times New Roman" w:hAnsi="Calibri" w:cs="Times New Roman"/>
          <w:color w:val="000000" w:themeColor="text1"/>
          <w:sz w:val="24"/>
          <w:szCs w:val="24"/>
        </w:rPr>
        <w:t>.</w:t>
      </w:r>
      <w:bookmarkEnd w:id="1"/>
      <w:r w:rsidR="00CF2132" w:rsidRPr="0005729D">
        <w:rPr>
          <w:rFonts w:ascii="Calibri" w:eastAsia="Times New Roman" w:hAnsi="Calibri" w:cs="Times New Roman"/>
          <w:color w:val="000000" w:themeColor="text1"/>
          <w:sz w:val="24"/>
          <w:szCs w:val="24"/>
        </w:rPr>
        <w:t xml:space="preserve"> </w:t>
      </w:r>
    </w:p>
    <w:p w14:paraId="58CE323D" w14:textId="77777777" w:rsidR="00FA30F7" w:rsidRPr="0005729D" w:rsidRDefault="00FA30F7" w:rsidP="00FA30F7">
      <w:pPr>
        <w:pStyle w:val="ListParagraph"/>
        <w:rPr>
          <w:rFonts w:ascii="Calibri" w:eastAsia="Times New Roman" w:hAnsi="Calibri" w:cs="Times New Roman"/>
          <w:color w:val="000000"/>
          <w:sz w:val="24"/>
          <w:szCs w:val="24"/>
        </w:rPr>
      </w:pPr>
    </w:p>
    <w:p w14:paraId="02FAB0AD" w14:textId="66618049" w:rsidR="00FA30F7" w:rsidRPr="0005729D" w:rsidRDefault="00FA30F7" w:rsidP="00FA30F7">
      <w:pPr>
        <w:pStyle w:val="ListParagraph"/>
        <w:numPr>
          <w:ilvl w:val="0"/>
          <w:numId w:val="1"/>
        </w:numPr>
        <w:rPr>
          <w:sz w:val="24"/>
          <w:szCs w:val="24"/>
        </w:rPr>
      </w:pPr>
      <w:r w:rsidRPr="0005729D">
        <w:rPr>
          <w:sz w:val="24"/>
          <w:szCs w:val="24"/>
        </w:rPr>
        <w:lastRenderedPageBreak/>
        <w:t xml:space="preserve">Beginning January 1, 2021, SCE retroactively excluded the cost-of-removal component of book depreciation expense in its calculation of the annual amortization of excess deferred income tax (“EDIT”) under the average rate assumption method (“ARAM”) in order to comply with private letter ruling 202141001 SCE received on July 15, 2021 which concluded that the inclusion of the cost-of-removal component of book depreciation in the calculation of ARAM is not consistent with the tax normalization requirements of the Internal Revenue Code and related Treasury regulations.  </w:t>
      </w:r>
    </w:p>
    <w:p w14:paraId="5D23CAEA" w14:textId="77777777" w:rsidR="00FA30F7" w:rsidRPr="0005729D" w:rsidRDefault="00FA30F7" w:rsidP="00FA30F7">
      <w:pPr>
        <w:pStyle w:val="ListParagraph"/>
        <w:rPr>
          <w:sz w:val="24"/>
          <w:szCs w:val="24"/>
        </w:rPr>
      </w:pPr>
    </w:p>
    <w:p w14:paraId="5B4CA179" w14:textId="77777777"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 xml:space="preserve">In August 2020, the FASB issued an </w:t>
      </w:r>
      <w:proofErr w:type="gramStart"/>
      <w:r w:rsidRPr="0005729D">
        <w:rPr>
          <w:rFonts w:eastAsia="Times New Roman"/>
          <w:sz w:val="24"/>
          <w:szCs w:val="24"/>
        </w:rPr>
        <w:t>accounting standards</w:t>
      </w:r>
      <w:proofErr w:type="gramEnd"/>
      <w:r w:rsidRPr="0005729D">
        <w:rPr>
          <w:rFonts w:eastAsia="Times New Roman"/>
          <w:sz w:val="24"/>
          <w:szCs w:val="24"/>
        </w:rPr>
        <w:t xml:space="preserve"> update to simplify the accounting for certain financial instruments with characteristics of liabilities and equity. The amendments in this update affect entities that issue convertible instruments indexed to or potentially settled in an entity's own equity. This guidance also simplifies an entity's application of the derivatives scope exception for contracts in its own equity and amends certain aspects of the EPS guidance. SCE has adopted this standard on January 1, 2021 using modified retrospective adoption approach. The adoption of this standard did not have a material impact on SCE's financial position or results of operations.</w:t>
      </w:r>
    </w:p>
    <w:p w14:paraId="25DB7739" w14:textId="77777777" w:rsidR="00FA30F7" w:rsidRPr="0005729D" w:rsidRDefault="00FA30F7" w:rsidP="00FA30F7">
      <w:pPr>
        <w:pStyle w:val="ListParagraph"/>
        <w:rPr>
          <w:rFonts w:eastAsia="Times New Roman"/>
          <w:sz w:val="24"/>
          <w:szCs w:val="24"/>
        </w:rPr>
      </w:pPr>
    </w:p>
    <w:p w14:paraId="6F799E7F" w14:textId="7A49D596"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In February 2021, SCE Recovery Funding LLC, a wholly owned special purpose entity (SPE) formed in 2021 for the purpose of issuing, servicing, and making payments on the securitized bonds related to SCE's AB 1054 Excluded Capital Expenditures (Recovery Property), issued $338m of securitized bonds in three tranches and used the proceeds to acquire SCE's right, title and interest in and to non-</w:t>
      </w:r>
      <w:proofErr w:type="spellStart"/>
      <w:r w:rsidRPr="0005729D">
        <w:rPr>
          <w:rFonts w:eastAsia="Times New Roman"/>
          <w:sz w:val="24"/>
          <w:szCs w:val="24"/>
        </w:rPr>
        <w:t>bypassable</w:t>
      </w:r>
      <w:proofErr w:type="spellEnd"/>
      <w:r w:rsidRPr="0005729D">
        <w:rPr>
          <w:rFonts w:eastAsia="Times New Roman"/>
          <w:sz w:val="24"/>
          <w:szCs w:val="24"/>
        </w:rPr>
        <w:t xml:space="preserve"> rates and other charges to be collected from certain existing and future customers in SCE's service territory until the bonds are paid in full and all financing costs have been recovered. The securitized bonds are secured by the Recovery Property and cash collections from the non-</w:t>
      </w:r>
      <w:proofErr w:type="spellStart"/>
      <w:r w:rsidRPr="0005729D">
        <w:rPr>
          <w:rFonts w:eastAsia="Times New Roman"/>
          <w:sz w:val="24"/>
          <w:szCs w:val="24"/>
        </w:rPr>
        <w:t>bypassable</w:t>
      </w:r>
      <w:proofErr w:type="spellEnd"/>
      <w:r w:rsidRPr="0005729D">
        <w:rPr>
          <w:rFonts w:eastAsia="Times New Roman"/>
          <w:sz w:val="24"/>
          <w:szCs w:val="24"/>
        </w:rPr>
        <w:t xml:space="preserve"> rates and other charges are the sole source of funds to satisfy the debt obligation. For GAAP reporting purposes, it is consolidated by SCE, where the balance sheet includes a regulatory asset for the Recovery Property of SCE Recovery Funding LLC </w:t>
      </w:r>
      <w:proofErr w:type="gramStart"/>
      <w:r w:rsidRPr="0005729D">
        <w:rPr>
          <w:rFonts w:eastAsia="Times New Roman"/>
          <w:sz w:val="24"/>
          <w:szCs w:val="24"/>
        </w:rPr>
        <w:t>and also</w:t>
      </w:r>
      <w:proofErr w:type="gramEnd"/>
      <w:r w:rsidRPr="0005729D">
        <w:rPr>
          <w:rFonts w:eastAsia="Times New Roman"/>
          <w:sz w:val="24"/>
          <w:szCs w:val="24"/>
        </w:rPr>
        <w:t xml:space="preserve"> includes the Senior Secured Recovery Bonds of the subsidiary which are both excluded for FERC purposes. For FERC reporting purposes, the investment in SCE Recovery Funding LLC is presented using the equity method.</w:t>
      </w:r>
    </w:p>
    <w:p w14:paraId="27C25158" w14:textId="77777777" w:rsidR="00FA30F7" w:rsidRPr="0005729D" w:rsidRDefault="00FA30F7" w:rsidP="00FA30F7">
      <w:pPr>
        <w:pStyle w:val="ListParagraph"/>
        <w:rPr>
          <w:rFonts w:eastAsia="Times New Roman"/>
          <w:sz w:val="24"/>
          <w:szCs w:val="24"/>
        </w:rPr>
      </w:pPr>
    </w:p>
    <w:p w14:paraId="64B76353" w14:textId="1F6ED977"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 xml:space="preserve">In July 2021, Morongo Transmission LLC paid SCE $400 million for the use of a portion of the West of Devers transmission line transfer capability. Under the agreement with Morongo, SCE will provide Morongo with the use of a portion of the WOD transmission line transfer capability for a period of 30 years. SCE will amortize deferred revenues from the use of the transfer capability over the 30-year term.  The depreciation of the transmission line is also amortized over the same period on a straight-line basis. FERC </w:t>
      </w:r>
      <w:r w:rsidRPr="0005729D">
        <w:rPr>
          <w:rFonts w:eastAsia="Times New Roman"/>
          <w:sz w:val="24"/>
          <w:szCs w:val="24"/>
        </w:rPr>
        <w:lastRenderedPageBreak/>
        <w:t xml:space="preserve">also approved SCE's requested accounting waiver of the Commission's </w:t>
      </w:r>
      <w:proofErr w:type="spellStart"/>
      <w:r w:rsidRPr="0005729D">
        <w:rPr>
          <w:rFonts w:eastAsia="Times New Roman"/>
          <w:sz w:val="24"/>
          <w:szCs w:val="24"/>
        </w:rPr>
        <w:t>USofA</w:t>
      </w:r>
      <w:proofErr w:type="spellEnd"/>
      <w:r w:rsidRPr="0005729D">
        <w:rPr>
          <w:rFonts w:eastAsia="Times New Roman"/>
          <w:sz w:val="24"/>
          <w:szCs w:val="24"/>
        </w:rPr>
        <w:t xml:space="preserve"> on the use of Account 566 to record the amounts received from Morongo Transmission on a limited basis until December 31, 2021 (Docket Nos. ER21-1280-000 and ER21-1280-001).</w:t>
      </w:r>
      <w:r w:rsidR="008A53C3" w:rsidRPr="0005729D">
        <w:rPr>
          <w:rFonts w:eastAsia="Times New Roman"/>
          <w:sz w:val="24"/>
          <w:szCs w:val="24"/>
        </w:rPr>
        <w:t xml:space="preserve">  Starting in 2022</w:t>
      </w:r>
      <w:r w:rsidR="00B32F73" w:rsidRPr="0005729D">
        <w:rPr>
          <w:rFonts w:eastAsia="Times New Roman"/>
          <w:sz w:val="24"/>
          <w:szCs w:val="24"/>
        </w:rPr>
        <w:t xml:space="preserve">, SCE will report </w:t>
      </w:r>
      <w:r w:rsidR="003978B8" w:rsidRPr="0005729D">
        <w:rPr>
          <w:rFonts w:eastAsia="Times New Roman"/>
          <w:sz w:val="24"/>
          <w:szCs w:val="24"/>
        </w:rPr>
        <w:t xml:space="preserve">the amounts received </w:t>
      </w:r>
      <w:r w:rsidR="000A32C2" w:rsidRPr="0005729D">
        <w:rPr>
          <w:rFonts w:eastAsia="Times New Roman"/>
          <w:sz w:val="24"/>
          <w:szCs w:val="24"/>
        </w:rPr>
        <w:t xml:space="preserve">from Morongo Transmission </w:t>
      </w:r>
      <w:r w:rsidR="005F3213" w:rsidRPr="0005729D">
        <w:rPr>
          <w:rFonts w:eastAsia="Times New Roman"/>
          <w:sz w:val="24"/>
          <w:szCs w:val="24"/>
        </w:rPr>
        <w:t>in the</w:t>
      </w:r>
      <w:r w:rsidR="007E771C" w:rsidRPr="0005729D">
        <w:rPr>
          <w:rFonts w:eastAsia="Times New Roman"/>
          <w:sz w:val="24"/>
          <w:szCs w:val="24"/>
        </w:rPr>
        <w:t xml:space="preserve"> corresponding </w:t>
      </w:r>
      <w:r w:rsidR="005F3213" w:rsidRPr="0005729D">
        <w:rPr>
          <w:rFonts w:eastAsia="Times New Roman"/>
          <w:sz w:val="24"/>
          <w:szCs w:val="24"/>
        </w:rPr>
        <w:t xml:space="preserve">native accounts consistent with Docket </w:t>
      </w:r>
      <w:r w:rsidR="00442D10" w:rsidRPr="0005729D">
        <w:rPr>
          <w:rFonts w:eastAsia="Times New Roman"/>
          <w:sz w:val="24"/>
          <w:szCs w:val="24"/>
        </w:rPr>
        <w:t>ER</w:t>
      </w:r>
      <w:r w:rsidR="009B6CF6" w:rsidRPr="0005729D">
        <w:rPr>
          <w:rFonts w:eastAsia="Times New Roman"/>
          <w:sz w:val="24"/>
          <w:szCs w:val="24"/>
        </w:rPr>
        <w:t>22-166</w:t>
      </w:r>
      <w:r w:rsidR="005F3213" w:rsidRPr="0005729D">
        <w:rPr>
          <w:rFonts w:eastAsia="Times New Roman"/>
          <w:sz w:val="24"/>
          <w:szCs w:val="24"/>
        </w:rPr>
        <w:t>.</w:t>
      </w:r>
    </w:p>
    <w:p w14:paraId="6A6A567E" w14:textId="77777777" w:rsidR="00FA30F7" w:rsidRPr="0005729D" w:rsidRDefault="00FA30F7" w:rsidP="00FA30F7">
      <w:pPr>
        <w:pStyle w:val="ListParagraph"/>
        <w:rPr>
          <w:rFonts w:eastAsia="Times New Roman"/>
          <w:sz w:val="24"/>
          <w:szCs w:val="24"/>
        </w:rPr>
      </w:pPr>
    </w:p>
    <w:p w14:paraId="0C851CD5" w14:textId="240B9604"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In 2021 under FERC accounting and reporting, SCE began recording vendor discount credits for early payment of invoices to the originating invoice accounting that includes distribution, transmission, and generation operating and maintenance expense accounts as well as in electric plant in service accounts to comply with FERC’s Division of Audits and Accounting audit of SCE’s accounting and reporting (Docket No. FA20-1-000).  It found SCE was required to record transactions on its books and records at cost to the utility, meaning recording the purchased item or service at the reduced cost including the discounts in its accounts, per FERC’s accounting requirements.  Previously, SCE recorded vendor discount credits to Administrative and General (A&amp;G) account 930.2 Miscellaneous General Expenses.  For GAAP accounting and reporting, SCE continues to record the vendor discount credits in its Operating Expense account, resulting in a $</w:t>
      </w:r>
      <w:r w:rsidR="00593C3E" w:rsidRPr="0005729D">
        <w:rPr>
          <w:rFonts w:eastAsia="Times New Roman"/>
          <w:sz w:val="24"/>
          <w:szCs w:val="24"/>
        </w:rPr>
        <w:t xml:space="preserve">9m </w:t>
      </w:r>
      <w:r w:rsidRPr="0005729D">
        <w:rPr>
          <w:rFonts w:eastAsia="Times New Roman"/>
          <w:sz w:val="24"/>
          <w:szCs w:val="24"/>
        </w:rPr>
        <w:t>total net income difference between GAAP and FERC, where GAAP has the $</w:t>
      </w:r>
      <w:r w:rsidR="00B82DF5" w:rsidRPr="0005729D">
        <w:rPr>
          <w:rFonts w:eastAsia="Times New Roman"/>
          <w:sz w:val="24"/>
          <w:szCs w:val="24"/>
        </w:rPr>
        <w:t xml:space="preserve">9m </w:t>
      </w:r>
      <w:r w:rsidRPr="0005729D">
        <w:rPr>
          <w:rFonts w:eastAsia="Times New Roman"/>
          <w:sz w:val="24"/>
          <w:szCs w:val="24"/>
        </w:rPr>
        <w:t>credit under general operating expense and FERC has it as a credit under utility plant.</w:t>
      </w:r>
    </w:p>
    <w:p w14:paraId="20027786" w14:textId="77777777" w:rsidR="00313E8E" w:rsidRPr="0005729D" w:rsidRDefault="00313E8E" w:rsidP="0063324B">
      <w:pPr>
        <w:pStyle w:val="ListParagraph"/>
        <w:rPr>
          <w:rFonts w:eastAsia="Times New Roman"/>
          <w:sz w:val="24"/>
          <w:szCs w:val="24"/>
        </w:rPr>
      </w:pPr>
    </w:p>
    <w:p w14:paraId="62B33A24" w14:textId="53A17FF6" w:rsidR="009766BD" w:rsidRPr="0005729D" w:rsidRDefault="009766BD" w:rsidP="009766BD">
      <w:pPr>
        <w:pStyle w:val="ListParagraph"/>
        <w:numPr>
          <w:ilvl w:val="0"/>
          <w:numId w:val="1"/>
        </w:numPr>
        <w:rPr>
          <w:rFonts w:eastAsia="Times New Roman"/>
          <w:sz w:val="24"/>
          <w:szCs w:val="24"/>
        </w:rPr>
      </w:pPr>
      <w:r w:rsidRPr="0005729D">
        <w:rPr>
          <w:rFonts w:eastAsia="Times New Roman"/>
          <w:sz w:val="24"/>
          <w:szCs w:val="24"/>
        </w:rPr>
        <w:t xml:space="preserve">In 2021 </w:t>
      </w:r>
      <w:r w:rsidR="0073111F" w:rsidRPr="0005729D">
        <w:rPr>
          <w:rFonts w:eastAsia="Times New Roman"/>
          <w:sz w:val="24"/>
          <w:szCs w:val="24"/>
        </w:rPr>
        <w:t xml:space="preserve">under FERC accounting and reporting, </w:t>
      </w:r>
      <w:r w:rsidRPr="0005729D">
        <w:rPr>
          <w:rFonts w:eastAsia="Times New Roman"/>
          <w:sz w:val="24"/>
          <w:szCs w:val="24"/>
        </w:rPr>
        <w:t xml:space="preserve">SCE began recording No-Fault Compromise Settlements in legal proceedings alleging employment discrimination against </w:t>
      </w:r>
      <w:r w:rsidR="00210665" w:rsidRPr="0005729D">
        <w:rPr>
          <w:rFonts w:eastAsia="Times New Roman"/>
          <w:sz w:val="24"/>
          <w:szCs w:val="24"/>
        </w:rPr>
        <w:t>SCE</w:t>
      </w:r>
      <w:r w:rsidRPr="0005729D">
        <w:rPr>
          <w:rFonts w:eastAsia="Times New Roman"/>
          <w:sz w:val="24"/>
          <w:szCs w:val="24"/>
        </w:rPr>
        <w:t xml:space="preserve"> in </w:t>
      </w:r>
      <w:r w:rsidR="00210665" w:rsidRPr="0005729D">
        <w:rPr>
          <w:rFonts w:eastAsia="Times New Roman"/>
          <w:sz w:val="24"/>
          <w:szCs w:val="24"/>
        </w:rPr>
        <w:t xml:space="preserve">FERC </w:t>
      </w:r>
      <w:r w:rsidRPr="0005729D">
        <w:rPr>
          <w:rFonts w:eastAsia="Times New Roman"/>
          <w:sz w:val="24"/>
          <w:szCs w:val="24"/>
        </w:rPr>
        <w:t>Account 426.5 (Other Deductions) to comply with FERC’s Division of Audits and Accounting audit of SCE’s accounting and reporting (Docket No. FA20-1-000).  Previously, SCE recorded these expenses for No-Fault Compromise Settlements in Account 925 (Injuries and Damages).</w:t>
      </w:r>
    </w:p>
    <w:p w14:paraId="348105C0" w14:textId="77777777" w:rsidR="00FA30F7" w:rsidRPr="0005729D" w:rsidRDefault="00FA30F7" w:rsidP="00FA30F7">
      <w:pPr>
        <w:pStyle w:val="ListParagraph"/>
        <w:rPr>
          <w:rFonts w:ascii="Calibri" w:eastAsia="Times New Roman" w:hAnsi="Calibri" w:cs="Times New Roman"/>
          <w:color w:val="000000"/>
          <w:sz w:val="24"/>
          <w:szCs w:val="24"/>
        </w:rPr>
      </w:pPr>
    </w:p>
    <w:p w14:paraId="7AE6A94D" w14:textId="7476B606" w:rsidR="00FA30F7" w:rsidRPr="0005729D" w:rsidRDefault="00FA30F7" w:rsidP="00FA30F7">
      <w:pPr>
        <w:pStyle w:val="ListParagraph"/>
        <w:numPr>
          <w:ilvl w:val="0"/>
          <w:numId w:val="1"/>
        </w:numPr>
        <w:rPr>
          <w:rFonts w:eastAsia="Times New Roman"/>
          <w:sz w:val="24"/>
          <w:szCs w:val="24"/>
        </w:rPr>
      </w:pPr>
      <w:r w:rsidRPr="0005729D">
        <w:rPr>
          <w:rFonts w:eastAsia="Times New Roman"/>
          <w:sz w:val="24"/>
          <w:szCs w:val="24"/>
        </w:rPr>
        <w:t>S</w:t>
      </w:r>
      <w:bookmarkStart w:id="2" w:name="_Hlk104378739"/>
      <w:r w:rsidRPr="0005729D">
        <w:rPr>
          <w:rFonts w:eastAsia="Times New Roman"/>
          <w:sz w:val="24"/>
          <w:szCs w:val="24"/>
        </w:rPr>
        <w:t xml:space="preserve">CE has calculated the </w:t>
      </w:r>
      <w:proofErr w:type="spellStart"/>
      <w:r w:rsidRPr="0005729D">
        <w:rPr>
          <w:rFonts w:eastAsia="Times New Roman"/>
          <w:sz w:val="24"/>
          <w:szCs w:val="24"/>
        </w:rPr>
        <w:t>uncollectibles</w:t>
      </w:r>
      <w:proofErr w:type="spellEnd"/>
      <w:r w:rsidRPr="0005729D">
        <w:rPr>
          <w:rFonts w:eastAsia="Times New Roman"/>
          <w:sz w:val="24"/>
          <w:szCs w:val="24"/>
        </w:rPr>
        <w:t xml:space="preserve"> factor applicable to calendar year </w:t>
      </w:r>
      <w:r w:rsidR="007B555A" w:rsidRPr="0005729D">
        <w:rPr>
          <w:rFonts w:eastAsia="Times New Roman"/>
          <w:sz w:val="24"/>
          <w:szCs w:val="24"/>
        </w:rPr>
        <w:t xml:space="preserve">2021 </w:t>
      </w:r>
      <w:r w:rsidRPr="0005729D">
        <w:rPr>
          <w:rFonts w:eastAsia="Times New Roman"/>
          <w:sz w:val="24"/>
          <w:szCs w:val="24"/>
        </w:rPr>
        <w:t xml:space="preserve">under Schedule 28 of the formula rate utilizing the total </w:t>
      </w:r>
      <w:r w:rsidR="007B555A" w:rsidRPr="0005729D">
        <w:rPr>
          <w:rFonts w:eastAsia="Times New Roman"/>
          <w:sz w:val="24"/>
          <w:szCs w:val="24"/>
        </w:rPr>
        <w:t xml:space="preserve">2021 </w:t>
      </w:r>
      <w:r w:rsidRPr="0005729D">
        <w:rPr>
          <w:rFonts w:eastAsia="Times New Roman"/>
          <w:sz w:val="24"/>
          <w:szCs w:val="24"/>
        </w:rPr>
        <w:t>uncollectible amoun</w:t>
      </w:r>
      <w:r w:rsidR="00830064" w:rsidRPr="0005729D">
        <w:rPr>
          <w:rFonts w:eastAsia="Times New Roman"/>
          <w:sz w:val="24"/>
          <w:szCs w:val="24"/>
        </w:rPr>
        <w:t>ts</w:t>
      </w:r>
      <w:r w:rsidRPr="0005729D">
        <w:rPr>
          <w:rFonts w:eastAsia="Times New Roman"/>
          <w:sz w:val="24"/>
          <w:szCs w:val="24"/>
        </w:rPr>
        <w:t xml:space="preserve">.   See also “WP Schedule 28 FFU”.  This change was necessary due to the dramatic increase in </w:t>
      </w:r>
      <w:proofErr w:type="spellStart"/>
      <w:r w:rsidRPr="0005729D">
        <w:rPr>
          <w:rFonts w:eastAsia="Times New Roman"/>
          <w:sz w:val="24"/>
          <w:szCs w:val="24"/>
        </w:rPr>
        <w:t>uncollectibles</w:t>
      </w:r>
      <w:proofErr w:type="spellEnd"/>
      <w:r w:rsidRPr="0005729D">
        <w:rPr>
          <w:rFonts w:eastAsia="Times New Roman"/>
          <w:sz w:val="24"/>
          <w:szCs w:val="24"/>
        </w:rPr>
        <w:t xml:space="preserve"> balances since early 2020</w:t>
      </w:r>
      <w:r w:rsidR="00A455BC" w:rsidRPr="0005729D">
        <w:rPr>
          <w:rFonts w:eastAsia="Times New Roman"/>
          <w:sz w:val="24"/>
          <w:szCs w:val="24"/>
        </w:rPr>
        <w:t>, and continuing through 2021,</w:t>
      </w:r>
      <w:r w:rsidRPr="0005729D">
        <w:rPr>
          <w:rFonts w:eastAsia="Times New Roman"/>
          <w:sz w:val="24"/>
          <w:szCs w:val="24"/>
        </w:rPr>
        <w:t xml:space="preserve"> </w:t>
      </w:r>
      <w:proofErr w:type="gramStart"/>
      <w:r w:rsidRPr="0005729D">
        <w:rPr>
          <w:rFonts w:eastAsia="Times New Roman"/>
          <w:sz w:val="24"/>
          <w:szCs w:val="24"/>
        </w:rPr>
        <w:t>as a consequence of</w:t>
      </w:r>
      <w:proofErr w:type="gramEnd"/>
      <w:r w:rsidRPr="0005729D">
        <w:rPr>
          <w:rFonts w:eastAsia="Times New Roman"/>
          <w:sz w:val="24"/>
          <w:szCs w:val="24"/>
        </w:rPr>
        <w:t xml:space="preserve"> the Covid-19 pandemic and its economic impact on SCE customers, as well as CPUC and SCE efforts to limit disconnections for nonpayment during this period.  This change affects retail transmission rates but has no effect on wholesale transmission rates. </w:t>
      </w:r>
    </w:p>
    <w:bookmarkEnd w:id="2"/>
    <w:p w14:paraId="73F2FC96" w14:textId="12980FEB" w:rsidR="00CD4248" w:rsidRPr="0005729D" w:rsidRDefault="00CD4248" w:rsidP="00AA195E">
      <w:pPr>
        <w:rPr>
          <w:rFonts w:ascii="Calibri" w:eastAsia="Times New Roman" w:hAnsi="Calibri" w:cs="Times New Roman"/>
          <w:color w:val="000000"/>
          <w:sz w:val="24"/>
          <w:szCs w:val="24"/>
        </w:rPr>
      </w:pPr>
    </w:p>
    <w:sectPr w:rsidR="00CD4248" w:rsidRPr="0005729D">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CE Comment" w:date="2022-06-07T07:53:00Z" w:initials="SCE">
    <w:p w14:paraId="07E9E3B6" w14:textId="77777777" w:rsidR="00C4428A" w:rsidRDefault="00C4428A" w:rsidP="00C4428A">
      <w:pPr>
        <w:pStyle w:val="CommentText"/>
      </w:pPr>
      <w:r>
        <w:rPr>
          <w:rStyle w:val="CommentReference"/>
        </w:rPr>
        <w:annotationRef/>
      </w:r>
      <w:r>
        <w:t>On June 3</w:t>
      </w:r>
      <w:r w:rsidRPr="00164C94">
        <w:rPr>
          <w:vertAlign w:val="superscript"/>
        </w:rPr>
        <w:t>rd</w:t>
      </w:r>
      <w:r>
        <w:t xml:space="preserve">, 2022, the Commission issued an order pertaining to TO2022 protests filed by the CPUC and Six Cities relating to </w:t>
      </w:r>
      <w:r w:rsidRPr="007130F2">
        <w:t>(1) treatment of post-construction environmental restoration mitigation costs required as a condition of Tehachapi licensing, and (2) recovery of prudently incurred cancelled work order costs.</w:t>
      </w:r>
      <w:r>
        <w:t xml:space="preserve">  Due to the timing of the Commission Order, SCE is still assessing the impact to TO2023.  Consequently, the June 15</w:t>
      </w:r>
      <w:r w:rsidRPr="00730C70">
        <w:rPr>
          <w:vertAlign w:val="superscript"/>
        </w:rPr>
        <w:t>th</w:t>
      </w:r>
      <w:r>
        <w:t xml:space="preserve"> TO2023 Draft Posting does not reflect any impacts due to the June 3</w:t>
      </w:r>
      <w:r w:rsidRPr="00A81D33">
        <w:rPr>
          <w:vertAlign w:val="superscript"/>
        </w:rPr>
        <w:t>rd</w:t>
      </w:r>
      <w:r>
        <w:t xml:space="preserve"> Order.  SCE will inform stakeholders on how this will be reflected in TO2023 prior to filing the annual update with the Commission by December 1, 2022.</w:t>
      </w:r>
    </w:p>
    <w:p w14:paraId="5AE0FB6E" w14:textId="32D16189" w:rsidR="00C4428A" w:rsidRDefault="00C4428A">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E0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498273" w16cex:dateUtc="2022-06-07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E0FB6E" w16cid:durableId="264982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273569" w14:textId="77777777" w:rsidR="00F5496F" w:rsidRDefault="00F5496F" w:rsidP="00466185">
      <w:pPr>
        <w:spacing w:after="0" w:line="240" w:lineRule="auto"/>
      </w:pPr>
      <w:r>
        <w:separator/>
      </w:r>
    </w:p>
  </w:endnote>
  <w:endnote w:type="continuationSeparator" w:id="0">
    <w:p w14:paraId="1E797DC1" w14:textId="77777777" w:rsidR="00F5496F" w:rsidRDefault="00F5496F" w:rsidP="00466185">
      <w:pPr>
        <w:spacing w:after="0" w:line="240" w:lineRule="auto"/>
      </w:pPr>
      <w:r>
        <w:continuationSeparator/>
      </w:r>
    </w:p>
  </w:endnote>
  <w:endnote w:type="continuationNotice" w:id="1">
    <w:p w14:paraId="096E502F" w14:textId="77777777" w:rsidR="00F5496F" w:rsidRDefault="00F549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E8C54" w14:textId="77777777" w:rsidR="00F5496F" w:rsidRDefault="00F5496F" w:rsidP="00466185">
      <w:pPr>
        <w:spacing w:after="0" w:line="240" w:lineRule="auto"/>
      </w:pPr>
      <w:r>
        <w:separator/>
      </w:r>
    </w:p>
  </w:footnote>
  <w:footnote w:type="continuationSeparator" w:id="0">
    <w:p w14:paraId="52310356" w14:textId="77777777" w:rsidR="00F5496F" w:rsidRDefault="00F5496F" w:rsidP="00466185">
      <w:pPr>
        <w:spacing w:after="0" w:line="240" w:lineRule="auto"/>
      </w:pPr>
      <w:r>
        <w:continuationSeparator/>
      </w:r>
    </w:p>
  </w:footnote>
  <w:footnote w:type="continuationNotice" w:id="1">
    <w:p w14:paraId="3BCAC88D" w14:textId="77777777" w:rsidR="00F5496F" w:rsidRDefault="00F549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D7390" w14:textId="2C3E97DB" w:rsidR="00066A7C" w:rsidRDefault="00127C12" w:rsidP="00066A7C">
    <w:pPr>
      <w:pStyle w:val="Header"/>
      <w:jc w:val="right"/>
    </w:pPr>
    <w:r>
      <w:t>TO202</w:t>
    </w:r>
    <w:r w:rsidR="00FA30F7">
      <w:t>3</w:t>
    </w:r>
    <w:r w:rsidR="008B7860">
      <w:t xml:space="preserve"> </w:t>
    </w:r>
    <w:r w:rsidR="0094786E">
      <w:t xml:space="preserve">Draft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7924629A" w:rsidR="00466185" w:rsidRPr="00DD0216" w:rsidRDefault="00F5496F"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392CFC">
          <w:rPr>
            <w:rFonts w:cs="Times New Roman"/>
            <w:bCs/>
            <w:szCs w:val="18"/>
          </w:rPr>
          <w:t>1</w:t>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436860"/>
    <w:multiLevelType w:val="hybridMultilevel"/>
    <w:tmpl w:val="799E3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E Comment">
    <w15:presenceInfo w15:providerId="None" w15:userId="SCE Com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402CA"/>
    <w:rsid w:val="00041CE4"/>
    <w:rsid w:val="00055F71"/>
    <w:rsid w:val="0005729D"/>
    <w:rsid w:val="0006259C"/>
    <w:rsid w:val="00064A9F"/>
    <w:rsid w:val="00066A7C"/>
    <w:rsid w:val="00073003"/>
    <w:rsid w:val="00080B6B"/>
    <w:rsid w:val="00082486"/>
    <w:rsid w:val="000A09AC"/>
    <w:rsid w:val="000A32C2"/>
    <w:rsid w:val="000E222B"/>
    <w:rsid w:val="001068C7"/>
    <w:rsid w:val="00120641"/>
    <w:rsid w:val="00127C12"/>
    <w:rsid w:val="00152672"/>
    <w:rsid w:val="0016014B"/>
    <w:rsid w:val="00164C94"/>
    <w:rsid w:val="001656C9"/>
    <w:rsid w:val="0017626A"/>
    <w:rsid w:val="001910BA"/>
    <w:rsid w:val="001A13A0"/>
    <w:rsid w:val="001A3B3C"/>
    <w:rsid w:val="001D7652"/>
    <w:rsid w:val="001D7EA5"/>
    <w:rsid w:val="001E3D86"/>
    <w:rsid w:val="001E4E3F"/>
    <w:rsid w:val="00200D40"/>
    <w:rsid w:val="002068EE"/>
    <w:rsid w:val="00207C2F"/>
    <w:rsid w:val="00210665"/>
    <w:rsid w:val="0022579B"/>
    <w:rsid w:val="0024083B"/>
    <w:rsid w:val="00252C39"/>
    <w:rsid w:val="002825C6"/>
    <w:rsid w:val="00287D46"/>
    <w:rsid w:val="00290ECE"/>
    <w:rsid w:val="0029307D"/>
    <w:rsid w:val="00293105"/>
    <w:rsid w:val="002A0291"/>
    <w:rsid w:val="002C2F9E"/>
    <w:rsid w:val="002F2A16"/>
    <w:rsid w:val="0030557C"/>
    <w:rsid w:val="00313E8E"/>
    <w:rsid w:val="0032169C"/>
    <w:rsid w:val="00345C2F"/>
    <w:rsid w:val="00347129"/>
    <w:rsid w:val="00357C86"/>
    <w:rsid w:val="00360FCC"/>
    <w:rsid w:val="00392CFC"/>
    <w:rsid w:val="00394025"/>
    <w:rsid w:val="003978B8"/>
    <w:rsid w:val="003C7E75"/>
    <w:rsid w:val="003E0E91"/>
    <w:rsid w:val="003E30F9"/>
    <w:rsid w:val="00401A11"/>
    <w:rsid w:val="004072DE"/>
    <w:rsid w:val="004137B9"/>
    <w:rsid w:val="00421F34"/>
    <w:rsid w:val="00434E76"/>
    <w:rsid w:val="00436BFD"/>
    <w:rsid w:val="00442D10"/>
    <w:rsid w:val="00450FB0"/>
    <w:rsid w:val="00465536"/>
    <w:rsid w:val="00466185"/>
    <w:rsid w:val="004C796A"/>
    <w:rsid w:val="004D0DC9"/>
    <w:rsid w:val="004E0E3E"/>
    <w:rsid w:val="00506F65"/>
    <w:rsid w:val="00540635"/>
    <w:rsid w:val="005555BA"/>
    <w:rsid w:val="00560D0D"/>
    <w:rsid w:val="005720C9"/>
    <w:rsid w:val="00580A4C"/>
    <w:rsid w:val="00583B54"/>
    <w:rsid w:val="005934E2"/>
    <w:rsid w:val="00593C3E"/>
    <w:rsid w:val="005D2670"/>
    <w:rsid w:val="005D38AC"/>
    <w:rsid w:val="005F3213"/>
    <w:rsid w:val="005F6EB3"/>
    <w:rsid w:val="00622968"/>
    <w:rsid w:val="00632E6B"/>
    <w:rsid w:val="0063324B"/>
    <w:rsid w:val="0064597E"/>
    <w:rsid w:val="006A27FE"/>
    <w:rsid w:val="006B52B8"/>
    <w:rsid w:val="007130F2"/>
    <w:rsid w:val="0073111F"/>
    <w:rsid w:val="00731AC5"/>
    <w:rsid w:val="00733DC0"/>
    <w:rsid w:val="00753FC3"/>
    <w:rsid w:val="007642F2"/>
    <w:rsid w:val="007648B9"/>
    <w:rsid w:val="00783F38"/>
    <w:rsid w:val="0078449A"/>
    <w:rsid w:val="00792B0F"/>
    <w:rsid w:val="00792B53"/>
    <w:rsid w:val="007A3CC0"/>
    <w:rsid w:val="007B555A"/>
    <w:rsid w:val="007B5A3A"/>
    <w:rsid w:val="007C3B65"/>
    <w:rsid w:val="007C6852"/>
    <w:rsid w:val="007C7737"/>
    <w:rsid w:val="007D2443"/>
    <w:rsid w:val="007E0AF4"/>
    <w:rsid w:val="007E771C"/>
    <w:rsid w:val="00822254"/>
    <w:rsid w:val="00826390"/>
    <w:rsid w:val="00830064"/>
    <w:rsid w:val="00831815"/>
    <w:rsid w:val="00846717"/>
    <w:rsid w:val="008618F6"/>
    <w:rsid w:val="00882949"/>
    <w:rsid w:val="00884099"/>
    <w:rsid w:val="00891882"/>
    <w:rsid w:val="008A3486"/>
    <w:rsid w:val="008A53C3"/>
    <w:rsid w:val="008B7860"/>
    <w:rsid w:val="008C10DF"/>
    <w:rsid w:val="008C46AB"/>
    <w:rsid w:val="008E0A6B"/>
    <w:rsid w:val="008E2C50"/>
    <w:rsid w:val="00916D9B"/>
    <w:rsid w:val="00930D03"/>
    <w:rsid w:val="009322BE"/>
    <w:rsid w:val="00940D84"/>
    <w:rsid w:val="0094786E"/>
    <w:rsid w:val="0095000C"/>
    <w:rsid w:val="009766BD"/>
    <w:rsid w:val="00985E77"/>
    <w:rsid w:val="009B6CF6"/>
    <w:rsid w:val="009D2108"/>
    <w:rsid w:val="00A0014E"/>
    <w:rsid w:val="00A04FB6"/>
    <w:rsid w:val="00A31D09"/>
    <w:rsid w:val="00A455BC"/>
    <w:rsid w:val="00A65C34"/>
    <w:rsid w:val="00A87CDD"/>
    <w:rsid w:val="00AA195E"/>
    <w:rsid w:val="00AA198F"/>
    <w:rsid w:val="00AA2ABC"/>
    <w:rsid w:val="00AB0136"/>
    <w:rsid w:val="00AB7F8C"/>
    <w:rsid w:val="00AC0F97"/>
    <w:rsid w:val="00AC1911"/>
    <w:rsid w:val="00AE7982"/>
    <w:rsid w:val="00B00300"/>
    <w:rsid w:val="00B03DA7"/>
    <w:rsid w:val="00B314F3"/>
    <w:rsid w:val="00B32F73"/>
    <w:rsid w:val="00B6739B"/>
    <w:rsid w:val="00B82DF5"/>
    <w:rsid w:val="00B95D23"/>
    <w:rsid w:val="00BB5F11"/>
    <w:rsid w:val="00BD3F98"/>
    <w:rsid w:val="00BE58DF"/>
    <w:rsid w:val="00BF4D69"/>
    <w:rsid w:val="00BF5C5C"/>
    <w:rsid w:val="00C15AD2"/>
    <w:rsid w:val="00C4150F"/>
    <w:rsid w:val="00C4428A"/>
    <w:rsid w:val="00C64E23"/>
    <w:rsid w:val="00C76139"/>
    <w:rsid w:val="00C90DA4"/>
    <w:rsid w:val="00CC64A8"/>
    <w:rsid w:val="00CD200F"/>
    <w:rsid w:val="00CD4248"/>
    <w:rsid w:val="00CD524B"/>
    <w:rsid w:val="00CF2132"/>
    <w:rsid w:val="00D023F8"/>
    <w:rsid w:val="00D4182B"/>
    <w:rsid w:val="00D56F95"/>
    <w:rsid w:val="00D67FCA"/>
    <w:rsid w:val="00DB79C1"/>
    <w:rsid w:val="00DD0216"/>
    <w:rsid w:val="00E02120"/>
    <w:rsid w:val="00E2442D"/>
    <w:rsid w:val="00E355DD"/>
    <w:rsid w:val="00E44255"/>
    <w:rsid w:val="00E60B5C"/>
    <w:rsid w:val="00E64592"/>
    <w:rsid w:val="00E66216"/>
    <w:rsid w:val="00E71B80"/>
    <w:rsid w:val="00E75306"/>
    <w:rsid w:val="00E77B3F"/>
    <w:rsid w:val="00E81511"/>
    <w:rsid w:val="00E83A1B"/>
    <w:rsid w:val="00E94337"/>
    <w:rsid w:val="00EC2DC8"/>
    <w:rsid w:val="00ED5D9F"/>
    <w:rsid w:val="00EE5016"/>
    <w:rsid w:val="00EF14FD"/>
    <w:rsid w:val="00F0216E"/>
    <w:rsid w:val="00F309B1"/>
    <w:rsid w:val="00F5496F"/>
    <w:rsid w:val="00F60480"/>
    <w:rsid w:val="00F91093"/>
    <w:rsid w:val="00FA30F7"/>
    <w:rsid w:val="00FA621B"/>
    <w:rsid w:val="00FD4C24"/>
    <w:rsid w:val="00FF16B9"/>
    <w:rsid w:val="00FF49C4"/>
    <w:rsid w:val="00FF740C"/>
    <w:rsid w:val="19AEA93C"/>
    <w:rsid w:val="7774003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2150D"/>
  <w15:chartTrackingRefBased/>
  <w15:docId w15:val="{FC8BD63C-11AB-45AB-97DE-E652A9F4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DB091-49A2-4D4A-AED8-A7BC7626D9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SCE Comment</cp:lastModifiedBy>
  <cp:revision>21</cp:revision>
  <cp:lastPrinted>2019-05-29T22:21:00Z</cp:lastPrinted>
  <dcterms:created xsi:type="dcterms:W3CDTF">2022-05-25T20:51:00Z</dcterms:created>
  <dcterms:modified xsi:type="dcterms:W3CDTF">2022-06-07T14:53:00Z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