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2150D" w14:textId="77777777" w:rsidR="00293105" w:rsidRDefault="00293105"/>
    <w:p w14:paraId="5912150E" w14:textId="6BC549FA"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w:t>
      </w:r>
      <w:r w:rsidR="007E0AF4">
        <w:rPr>
          <w:b/>
          <w:sz w:val="24"/>
          <w:szCs w:val="24"/>
        </w:rPr>
        <w:t>2</w:t>
      </w:r>
      <w:r w:rsidR="00E2442D">
        <w:rPr>
          <w:b/>
          <w:sz w:val="24"/>
          <w:szCs w:val="24"/>
        </w:rPr>
        <w:t>1</w:t>
      </w:r>
      <w:r w:rsidRPr="00DB79C1">
        <w:rPr>
          <w:b/>
          <w:sz w:val="24"/>
          <w:szCs w:val="24"/>
        </w:rPr>
        <w:t>)</w:t>
      </w:r>
    </w:p>
    <w:p w14:paraId="5912150F" w14:textId="68DB76D4" w:rsidR="00466185" w:rsidRPr="00DB79C1" w:rsidRDefault="00466185">
      <w:pPr>
        <w:rPr>
          <w:sz w:val="24"/>
          <w:szCs w:val="24"/>
        </w:rPr>
      </w:pPr>
      <w:r w:rsidRPr="00DB79C1">
        <w:rPr>
          <w:sz w:val="24"/>
          <w:szCs w:val="24"/>
        </w:rPr>
        <w:t>Pursuant to protocol section 3(a)(10), SCE is required to include in the Draft Annual Update a description of any “Material Accounting Changes” included in the Draft Annual Update.</w:t>
      </w:r>
    </w:p>
    <w:p w14:paraId="59121510" w14:textId="77777777" w:rsidR="00466185" w:rsidRPr="00DB79C1" w:rsidRDefault="00466185" w:rsidP="00466185">
      <w:pPr>
        <w:ind w:left="720" w:hanging="720"/>
        <w:rPr>
          <w:sz w:val="24"/>
          <w:szCs w:val="24"/>
        </w:rPr>
      </w:pPr>
      <w:r w:rsidRPr="00DB79C1">
        <w:rPr>
          <w:sz w:val="24"/>
          <w:szCs w:val="24"/>
        </w:rPr>
        <w:t>Material Accounting Changes are defined in the protocols as:</w:t>
      </w:r>
      <w:r w:rsidRPr="00DB79C1">
        <w:rPr>
          <w:sz w:val="24"/>
          <w:szCs w:val="24"/>
        </w:rPr>
        <w:tab/>
      </w:r>
      <w:r w:rsidRPr="00DB79C1">
        <w:rPr>
          <w:sz w:val="24"/>
          <w:szCs w:val="24"/>
        </w:rPr>
        <w:tab/>
      </w:r>
      <w:r w:rsidRPr="00DB79C1">
        <w:rPr>
          <w:sz w:val="24"/>
          <w:szCs w:val="24"/>
        </w:rPr>
        <w:tab/>
      </w:r>
    </w:p>
    <w:p w14:paraId="59121511" w14:textId="2D8FA148" w:rsidR="00466185" w:rsidRPr="00DB79C1" w:rsidRDefault="00466185" w:rsidP="00622968">
      <w:pPr>
        <w:ind w:left="720"/>
        <w:rPr>
          <w:rFonts w:ascii="Calibri" w:eastAsia="Times New Roman" w:hAnsi="Calibri" w:cs="Times New Roman"/>
          <w:color w:val="000000"/>
          <w:sz w:val="24"/>
          <w:szCs w:val="24"/>
        </w:rPr>
      </w:pPr>
      <w:r w:rsidRPr="00DB79C1">
        <w:rPr>
          <w:rFonts w:ascii="Calibri" w:eastAsia="Times New Roman" w:hAnsi="Calibri" w:cs="Times New Roman"/>
          <w:color w:val="000000"/>
          <w:sz w:val="24"/>
          <w:szCs w:val="24"/>
        </w:rPr>
        <w:t>“</w:t>
      </w:r>
      <w:r w:rsidR="00622968" w:rsidRPr="00622968">
        <w:rPr>
          <w:rFonts w:ascii="Calibri" w:eastAsia="Times New Roman" w:hAnsi="Calibri" w:cs="Times New Roman"/>
          <w:color w:val="000000"/>
          <w:sz w:val="24"/>
          <w:szCs w:val="24"/>
        </w:rPr>
        <w:t>Material Accounting Changes” shall mean any material change that affects SCE’s transmission</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rates as follows: (</w:t>
      </w:r>
      <w:proofErr w:type="spellStart"/>
      <w:r w:rsidR="00622968" w:rsidRPr="00622968">
        <w:rPr>
          <w:rFonts w:ascii="Calibri" w:eastAsia="Times New Roman" w:hAnsi="Calibri" w:cs="Times New Roman"/>
          <w:color w:val="000000"/>
          <w:sz w:val="24"/>
          <w:szCs w:val="24"/>
        </w:rPr>
        <w:t>i</w:t>
      </w:r>
      <w:proofErr w:type="spellEnd"/>
      <w:r w:rsidR="00622968" w:rsidRPr="00622968">
        <w:rPr>
          <w:rFonts w:ascii="Calibri" w:eastAsia="Times New Roman" w:hAnsi="Calibri" w:cs="Times New Roman"/>
          <w:color w:val="000000"/>
          <w:sz w:val="24"/>
          <w:szCs w:val="24"/>
        </w:rPr>
        <w:t>) accounting policies and practices from those in effect for the Prior Year upon which</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the immediately preceding Annual Update was based, including those resulting from any new or</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revised accounting guidance from the Financial Accounting Standards Board; or (ii) internal corporate</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cost allocation policies or practices in effect for the Prior Year upon which the immediately preceding</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Annual Update was based; or (iii) income tax elections from those in effect for the Prior Year upon</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which the immediately preceding Annual Update was based; or (iv) cost allocation policies between</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EIX, SCE, and subsidiaries of either, from those in effect for the Prior Year upon which the</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immediately preceding Annual Update was based. Additionally, a Material Accounting Change shall</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also include any: (</w:t>
      </w:r>
      <w:proofErr w:type="spellStart"/>
      <w:r w:rsidR="00622968" w:rsidRPr="00622968">
        <w:rPr>
          <w:rFonts w:ascii="Calibri" w:eastAsia="Times New Roman" w:hAnsi="Calibri" w:cs="Times New Roman"/>
          <w:color w:val="000000"/>
          <w:sz w:val="24"/>
          <w:szCs w:val="24"/>
        </w:rPr>
        <w:t>i</w:t>
      </w:r>
      <w:proofErr w:type="spellEnd"/>
      <w:r w:rsidR="00622968" w:rsidRPr="00622968">
        <w:rPr>
          <w:rFonts w:ascii="Calibri" w:eastAsia="Times New Roman" w:hAnsi="Calibri" w:cs="Times New Roman"/>
          <w:color w:val="000000"/>
          <w:sz w:val="24"/>
          <w:szCs w:val="24"/>
        </w:rPr>
        <w:t>) initial implementation of an accounting standard; or (ii) initial implementation of</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accounting practices for unusual or unconventional items where the Commission has not provided</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specific accounting direction.</w:t>
      </w:r>
      <w:r w:rsidR="00436BFD" w:rsidDel="00436BFD">
        <w:rPr>
          <w:rFonts w:ascii="Calibri" w:eastAsia="Times New Roman" w:hAnsi="Calibri" w:cs="Times New Roman"/>
          <w:color w:val="000000"/>
          <w:sz w:val="24"/>
          <w:szCs w:val="24"/>
        </w:rPr>
        <w:t xml:space="preserve"> </w:t>
      </w:r>
    </w:p>
    <w:p w14:paraId="59121512" w14:textId="0611BEEA" w:rsidR="00465536" w:rsidRDefault="00127C12" w:rsidP="00733DC0">
      <w:pPr>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SCE has identified </w:t>
      </w:r>
      <w:r w:rsidR="004439CB">
        <w:rPr>
          <w:rFonts w:ascii="Calibri" w:eastAsia="Times New Roman" w:hAnsi="Calibri" w:cs="Times New Roman"/>
          <w:color w:val="000000"/>
          <w:sz w:val="24"/>
          <w:szCs w:val="24"/>
        </w:rPr>
        <w:t>5</w:t>
      </w:r>
      <w:r w:rsidR="00CD4248" w:rsidRPr="00DB79C1">
        <w:rPr>
          <w:rFonts w:ascii="Calibri" w:eastAsia="Times New Roman" w:hAnsi="Calibri" w:cs="Times New Roman"/>
          <w:color w:val="000000"/>
          <w:sz w:val="24"/>
          <w:szCs w:val="24"/>
        </w:rPr>
        <w:t xml:space="preserve"> </w:t>
      </w:r>
      <w:r w:rsidR="00466185" w:rsidRPr="00DB79C1">
        <w:rPr>
          <w:rFonts w:ascii="Calibri" w:eastAsia="Times New Roman" w:hAnsi="Calibri" w:cs="Times New Roman"/>
          <w:color w:val="000000"/>
          <w:sz w:val="24"/>
          <w:szCs w:val="24"/>
        </w:rPr>
        <w:t xml:space="preserve">Material Accounting Changes implemented </w:t>
      </w:r>
      <w:r>
        <w:rPr>
          <w:rFonts w:ascii="Calibri" w:eastAsia="Times New Roman" w:hAnsi="Calibri" w:cs="Times New Roman"/>
          <w:color w:val="000000"/>
          <w:sz w:val="24"/>
          <w:szCs w:val="24"/>
        </w:rPr>
        <w:t>post calendar year</w:t>
      </w:r>
      <w:r w:rsidR="00466185" w:rsidRPr="00DB79C1">
        <w:rPr>
          <w:rFonts w:ascii="Calibri" w:eastAsia="Times New Roman" w:hAnsi="Calibri" w:cs="Times New Roman"/>
          <w:color w:val="000000"/>
          <w:sz w:val="24"/>
          <w:szCs w:val="24"/>
        </w:rPr>
        <w:t xml:space="preserve"> 201</w:t>
      </w:r>
      <w:r w:rsidR="00E2442D">
        <w:rPr>
          <w:rFonts w:ascii="Calibri" w:eastAsia="Times New Roman" w:hAnsi="Calibri" w:cs="Times New Roman"/>
          <w:color w:val="000000"/>
          <w:sz w:val="24"/>
          <w:szCs w:val="24"/>
        </w:rPr>
        <w:t>8</w:t>
      </w:r>
      <w:r w:rsidR="00466185" w:rsidRPr="00DB79C1">
        <w:rPr>
          <w:rFonts w:ascii="Calibri" w:eastAsia="Times New Roman" w:hAnsi="Calibri" w:cs="Times New Roman"/>
          <w:color w:val="000000"/>
          <w:sz w:val="24"/>
          <w:szCs w:val="24"/>
        </w:rPr>
        <w:t xml:space="preserve"> that impact the recorded 201</w:t>
      </w:r>
      <w:r w:rsidR="00E2442D">
        <w:rPr>
          <w:rFonts w:ascii="Calibri" w:eastAsia="Times New Roman" w:hAnsi="Calibri" w:cs="Times New Roman"/>
          <w:color w:val="000000"/>
          <w:sz w:val="24"/>
          <w:szCs w:val="24"/>
        </w:rPr>
        <w:t>9</w:t>
      </w:r>
      <w:r w:rsidR="00466185" w:rsidRPr="00DB79C1">
        <w:rPr>
          <w:rFonts w:ascii="Calibri" w:eastAsia="Times New Roman" w:hAnsi="Calibri" w:cs="Times New Roman"/>
          <w:color w:val="000000"/>
          <w:sz w:val="24"/>
          <w:szCs w:val="24"/>
        </w:rPr>
        <w:t xml:space="preserve"> year</w:t>
      </w:r>
      <w:r>
        <w:rPr>
          <w:rFonts w:ascii="Calibri" w:eastAsia="Times New Roman" w:hAnsi="Calibri" w:cs="Times New Roman"/>
          <w:color w:val="000000"/>
          <w:sz w:val="24"/>
          <w:szCs w:val="24"/>
        </w:rPr>
        <w:t xml:space="preserve"> and meet the above criteria</w:t>
      </w:r>
      <w:r w:rsidR="00465536" w:rsidRPr="00DB79C1">
        <w:rPr>
          <w:rFonts w:ascii="Calibri" w:eastAsia="Times New Roman" w:hAnsi="Calibri" w:cs="Times New Roman"/>
          <w:color w:val="000000"/>
          <w:sz w:val="24"/>
          <w:szCs w:val="24"/>
        </w:rPr>
        <w:t>:</w:t>
      </w:r>
    </w:p>
    <w:p w14:paraId="754CBE71" w14:textId="57281648" w:rsidR="00891882" w:rsidRPr="00891882" w:rsidRDefault="00891882" w:rsidP="6833DEBD">
      <w:pPr>
        <w:rPr>
          <w:rFonts w:ascii="Calibri" w:eastAsia="Times New Roman" w:hAnsi="Calibri" w:cs="Times New Roman"/>
          <w:color w:val="000000"/>
          <w:sz w:val="24"/>
          <w:szCs w:val="24"/>
        </w:rPr>
      </w:pPr>
      <w:r w:rsidRPr="6833DEBD">
        <w:rPr>
          <w:rFonts w:ascii="Calibri" w:eastAsia="Times New Roman" w:hAnsi="Calibri" w:cs="Times New Roman"/>
          <w:color w:val="000000" w:themeColor="text1"/>
          <w:sz w:val="24"/>
          <w:szCs w:val="24"/>
        </w:rPr>
        <w:t xml:space="preserve">On January 1, 2019, SCE adopted accounting standards updates </w:t>
      </w:r>
      <w:r w:rsidR="4D648014" w:rsidRPr="6833DEBD">
        <w:rPr>
          <w:rFonts w:ascii="Calibri" w:eastAsia="Times New Roman" w:hAnsi="Calibri" w:cs="Times New Roman"/>
          <w:color w:val="000000" w:themeColor="text1"/>
          <w:sz w:val="24"/>
          <w:szCs w:val="24"/>
        </w:rPr>
        <w:t xml:space="preserve">issued by the Financial Accounting Standard Board (FASB) </w:t>
      </w:r>
      <w:r w:rsidRPr="6833DEBD">
        <w:rPr>
          <w:rFonts w:ascii="Calibri" w:eastAsia="Times New Roman" w:hAnsi="Calibri" w:cs="Times New Roman"/>
          <w:color w:val="000000" w:themeColor="text1"/>
          <w:sz w:val="24"/>
          <w:szCs w:val="24"/>
        </w:rPr>
        <w:t xml:space="preserve">that require lessees to recognize a lease on the balance sheet as a right-of-use (ROU) asset and related lease liability and classify the lease as either operating or finance. </w:t>
      </w:r>
      <w:r w:rsidR="00BE6FE7" w:rsidRPr="6833DEBD">
        <w:rPr>
          <w:rFonts w:ascii="Calibri" w:eastAsia="Times New Roman" w:hAnsi="Calibri" w:cs="Times New Roman"/>
          <w:color w:val="000000" w:themeColor="text1"/>
          <w:sz w:val="24"/>
          <w:szCs w:val="24"/>
        </w:rPr>
        <w:t xml:space="preserve"> </w:t>
      </w:r>
      <w:r w:rsidRPr="6833DEBD">
        <w:rPr>
          <w:rFonts w:ascii="Calibri" w:eastAsia="Times New Roman" w:hAnsi="Calibri" w:cs="Times New Roman"/>
          <w:color w:val="000000" w:themeColor="text1"/>
          <w:sz w:val="24"/>
          <w:szCs w:val="24"/>
        </w:rPr>
        <w:t>Adoption of this standard increased ROU assets and lease liabilities on the consolidated balance sheets by $956 million and $951 million</w:t>
      </w:r>
      <w:r w:rsidR="325C0A3D" w:rsidRPr="6833DEBD">
        <w:rPr>
          <w:rFonts w:ascii="Calibri" w:eastAsia="Times New Roman" w:hAnsi="Calibri" w:cs="Times New Roman"/>
          <w:color w:val="000000" w:themeColor="text1"/>
          <w:sz w:val="24"/>
          <w:szCs w:val="24"/>
        </w:rPr>
        <w:t>, respectively,</w:t>
      </w:r>
      <w:r w:rsidRPr="6833DEBD">
        <w:rPr>
          <w:rFonts w:ascii="Calibri" w:eastAsia="Times New Roman" w:hAnsi="Calibri" w:cs="Times New Roman"/>
          <w:color w:val="000000" w:themeColor="text1"/>
          <w:sz w:val="24"/>
          <w:szCs w:val="24"/>
        </w:rPr>
        <w:t xml:space="preserve"> as of January 1, 2019 for SCE. The standard did not materially impact the consolidated statements of income. SCE uses FERC account 101.1 Property under Capital Leases to track ROU asset, and FERC accounts 243 and 227 Obligations under Capital Leases-current and noncurrent to track short-term and long-term lease liabilities, respectively. </w:t>
      </w:r>
    </w:p>
    <w:p w14:paraId="4F287075" w14:textId="1B5184CA" w:rsidR="00891882" w:rsidRPr="00891882" w:rsidRDefault="00891882" w:rsidP="00891882">
      <w:pPr>
        <w:rPr>
          <w:rFonts w:ascii="Calibri" w:eastAsia="Times New Roman" w:hAnsi="Calibri" w:cs="Times New Roman"/>
          <w:color w:val="000000"/>
          <w:sz w:val="24"/>
          <w:szCs w:val="24"/>
        </w:rPr>
      </w:pPr>
      <w:r w:rsidRPr="79B70208">
        <w:rPr>
          <w:rFonts w:ascii="Calibri" w:eastAsia="Times New Roman" w:hAnsi="Calibri" w:cs="Times New Roman"/>
          <w:color w:val="000000" w:themeColor="text1"/>
          <w:sz w:val="24"/>
          <w:szCs w:val="24"/>
        </w:rPr>
        <w:t>On January 1, 2019, SCE adopted a</w:t>
      </w:r>
      <w:r w:rsidR="59A0AA9C" w:rsidRPr="79B70208">
        <w:rPr>
          <w:rFonts w:ascii="Calibri" w:eastAsia="Times New Roman" w:hAnsi="Calibri" w:cs="Times New Roman"/>
          <w:color w:val="000000" w:themeColor="text1"/>
          <w:sz w:val="24"/>
          <w:szCs w:val="24"/>
        </w:rPr>
        <w:t xml:space="preserve"> FASB </w:t>
      </w:r>
      <w:r w:rsidR="00BE6FE7" w:rsidRPr="79B70208">
        <w:rPr>
          <w:rFonts w:ascii="Calibri" w:eastAsia="Times New Roman" w:hAnsi="Calibri" w:cs="Times New Roman"/>
          <w:color w:val="000000" w:themeColor="text1"/>
          <w:sz w:val="24"/>
          <w:szCs w:val="24"/>
        </w:rPr>
        <w:t>accounting standard</w:t>
      </w:r>
      <w:r w:rsidRPr="79B70208">
        <w:rPr>
          <w:rFonts w:ascii="Calibri" w:eastAsia="Times New Roman" w:hAnsi="Calibri" w:cs="Times New Roman"/>
          <w:color w:val="000000" w:themeColor="text1"/>
          <w:sz w:val="24"/>
          <w:szCs w:val="24"/>
        </w:rPr>
        <w:t xml:space="preserve"> update to provide entities an election to reclassify stranded tax effects resulting from “Tax Cut and Jobs Act” signed into law on December 22, 2017</w:t>
      </w:r>
      <w:r w:rsidR="001E24FA">
        <w:rPr>
          <w:rFonts w:ascii="Calibri" w:eastAsia="Times New Roman" w:hAnsi="Calibri" w:cs="Times New Roman"/>
          <w:color w:val="000000" w:themeColor="text1"/>
          <w:sz w:val="24"/>
          <w:szCs w:val="24"/>
        </w:rPr>
        <w:t xml:space="preserve"> (Tax Reform)</w:t>
      </w:r>
      <w:r w:rsidRPr="79B70208">
        <w:rPr>
          <w:rFonts w:ascii="Calibri" w:eastAsia="Times New Roman" w:hAnsi="Calibri" w:cs="Times New Roman"/>
          <w:color w:val="000000" w:themeColor="text1"/>
          <w:sz w:val="24"/>
          <w:szCs w:val="24"/>
        </w:rPr>
        <w:t xml:space="preserve"> from accumulated other comprehensive income to retained earnings. Stranded tax effects originated in December 2017 when deferred taxes were re-measured at the lower federal corporate tax rate with the impact included in operating </w:t>
      </w:r>
      <w:r w:rsidRPr="79B70208">
        <w:rPr>
          <w:rFonts w:ascii="Calibri" w:eastAsia="Times New Roman" w:hAnsi="Calibri" w:cs="Times New Roman"/>
          <w:color w:val="000000" w:themeColor="text1"/>
          <w:sz w:val="24"/>
          <w:szCs w:val="24"/>
        </w:rPr>
        <w:lastRenderedPageBreak/>
        <w:t xml:space="preserve">income, while the tax effects of items within accumulated other comprehensive income were not similarly adjusted. SCE reclassified stranded tax effects of $5 million from FERC account 219 Accumulated Other Comprehensive Loss to FERC account 439 Retained Earnings. </w:t>
      </w:r>
    </w:p>
    <w:p w14:paraId="1E4D14C6" w14:textId="5123AEFD" w:rsidR="00891882" w:rsidRPr="00891882" w:rsidRDefault="00891882" w:rsidP="00891882">
      <w:pPr>
        <w:rPr>
          <w:rFonts w:ascii="Calibri" w:eastAsia="Times New Roman" w:hAnsi="Calibri" w:cs="Times New Roman"/>
          <w:color w:val="000000"/>
          <w:sz w:val="24"/>
          <w:szCs w:val="24"/>
        </w:rPr>
      </w:pPr>
      <w:r w:rsidRPr="79B70208">
        <w:rPr>
          <w:rFonts w:ascii="Calibri" w:eastAsia="Times New Roman" w:hAnsi="Calibri" w:cs="Times New Roman"/>
          <w:color w:val="000000" w:themeColor="text1"/>
          <w:sz w:val="24"/>
          <w:szCs w:val="24"/>
        </w:rPr>
        <w:t xml:space="preserve">SCE accounted for the contributions to the </w:t>
      </w:r>
      <w:r w:rsidR="32E9E977" w:rsidRPr="79B70208">
        <w:rPr>
          <w:rFonts w:ascii="Calibri" w:eastAsia="Times New Roman" w:hAnsi="Calibri" w:cs="Times New Roman"/>
          <w:color w:val="000000" w:themeColor="text1"/>
          <w:sz w:val="24"/>
          <w:szCs w:val="24"/>
        </w:rPr>
        <w:t xml:space="preserve">State of California’s </w:t>
      </w:r>
      <w:r w:rsidRPr="79B70208">
        <w:rPr>
          <w:rFonts w:ascii="Calibri" w:eastAsia="Times New Roman" w:hAnsi="Calibri" w:cs="Times New Roman"/>
          <w:color w:val="000000" w:themeColor="text1"/>
          <w:sz w:val="24"/>
          <w:szCs w:val="24"/>
        </w:rPr>
        <w:t xml:space="preserve">Wildfire Insurance Fund similarly to prepaid insurance. </w:t>
      </w:r>
      <w:r w:rsidR="004439CB" w:rsidRPr="79B70208">
        <w:rPr>
          <w:rFonts w:ascii="Calibri" w:eastAsia="Times New Roman" w:hAnsi="Calibri" w:cs="Times New Roman"/>
          <w:color w:val="000000" w:themeColor="text1"/>
          <w:sz w:val="24"/>
          <w:szCs w:val="24"/>
        </w:rPr>
        <w:t xml:space="preserve"> A</w:t>
      </w:r>
      <w:r w:rsidR="1B097B6F" w:rsidRPr="79B70208">
        <w:rPr>
          <w:rFonts w:ascii="Calibri" w:eastAsia="Times New Roman" w:hAnsi="Calibri" w:cs="Times New Roman"/>
          <w:color w:val="000000" w:themeColor="text1"/>
          <w:sz w:val="24"/>
          <w:szCs w:val="24"/>
        </w:rPr>
        <w:t xml:space="preserve">s of </w:t>
      </w:r>
      <w:r w:rsidRPr="79B70208">
        <w:rPr>
          <w:rFonts w:ascii="Calibri" w:eastAsia="Times New Roman" w:hAnsi="Calibri" w:cs="Times New Roman"/>
          <w:color w:val="000000" w:themeColor="text1"/>
          <w:sz w:val="24"/>
          <w:szCs w:val="24"/>
        </w:rPr>
        <w:t xml:space="preserve">December 31, 2019, SCE has a $2.8 billion long-term asset and a $323 million current asset reflected as Miscellaneous Deferred Debits in FERC account 186 and Miscellaneous Current and Accrued Assets in FERC account 174, respectively, for the initial $2.4 billion contribution made during the third quarter of 2019 and the present value of annual contributions SCE committed to make to the Wildfire Insurance Fund. </w:t>
      </w:r>
      <w:r w:rsidR="004439CB" w:rsidRPr="79B70208">
        <w:rPr>
          <w:rFonts w:ascii="Calibri" w:eastAsia="Times New Roman" w:hAnsi="Calibri" w:cs="Times New Roman"/>
          <w:color w:val="000000" w:themeColor="text1"/>
          <w:sz w:val="24"/>
          <w:szCs w:val="24"/>
        </w:rPr>
        <w:t xml:space="preserve"> </w:t>
      </w:r>
      <w:r w:rsidRPr="79B70208">
        <w:rPr>
          <w:rFonts w:ascii="Calibri" w:eastAsia="Times New Roman" w:hAnsi="Calibri" w:cs="Times New Roman"/>
          <w:color w:val="000000" w:themeColor="text1"/>
          <w:sz w:val="24"/>
          <w:szCs w:val="24"/>
        </w:rPr>
        <w:t>A</w:t>
      </w:r>
      <w:r w:rsidR="3EB42A4D" w:rsidRPr="79B70208">
        <w:rPr>
          <w:rFonts w:ascii="Calibri" w:eastAsia="Times New Roman" w:hAnsi="Calibri" w:cs="Times New Roman"/>
          <w:color w:val="000000" w:themeColor="text1"/>
          <w:sz w:val="24"/>
          <w:szCs w:val="24"/>
        </w:rPr>
        <w:t>s of</w:t>
      </w:r>
      <w:r w:rsidRPr="79B70208">
        <w:rPr>
          <w:rFonts w:ascii="Calibri" w:eastAsia="Times New Roman" w:hAnsi="Calibri" w:cs="Times New Roman"/>
          <w:color w:val="000000" w:themeColor="text1"/>
          <w:sz w:val="24"/>
          <w:szCs w:val="24"/>
        </w:rPr>
        <w:t xml:space="preserve"> December 31, 2019, a long-term liability of $785 million has been reflected in FERC account 253 Other Deferred Credits for the present value of unpaid contribution amounts. </w:t>
      </w:r>
      <w:r w:rsidR="004439CB" w:rsidRPr="79B70208">
        <w:rPr>
          <w:rFonts w:ascii="Calibri" w:eastAsia="Times New Roman" w:hAnsi="Calibri" w:cs="Times New Roman"/>
          <w:color w:val="000000" w:themeColor="text1"/>
          <w:sz w:val="24"/>
          <w:szCs w:val="24"/>
        </w:rPr>
        <w:t xml:space="preserve"> </w:t>
      </w:r>
      <w:r w:rsidRPr="79B70208">
        <w:rPr>
          <w:rFonts w:ascii="Calibri" w:eastAsia="Times New Roman" w:hAnsi="Calibri" w:cs="Times New Roman"/>
          <w:color w:val="000000" w:themeColor="text1"/>
          <w:sz w:val="24"/>
          <w:szCs w:val="24"/>
        </w:rPr>
        <w:t xml:space="preserve">A period of 10 years is being used to amortize the asset. </w:t>
      </w:r>
      <w:r w:rsidR="004439CB" w:rsidRPr="79B70208">
        <w:rPr>
          <w:rFonts w:ascii="Calibri" w:eastAsia="Times New Roman" w:hAnsi="Calibri" w:cs="Times New Roman"/>
          <w:color w:val="000000" w:themeColor="text1"/>
          <w:sz w:val="24"/>
          <w:szCs w:val="24"/>
        </w:rPr>
        <w:t xml:space="preserve"> </w:t>
      </w:r>
      <w:r w:rsidRPr="79B70208">
        <w:rPr>
          <w:rFonts w:ascii="Calibri" w:eastAsia="Times New Roman" w:hAnsi="Calibri" w:cs="Times New Roman"/>
          <w:color w:val="000000" w:themeColor="text1"/>
          <w:sz w:val="24"/>
          <w:szCs w:val="24"/>
        </w:rPr>
        <w:t xml:space="preserve">All expenses related to the contributions are being reflected in FERC account 401 Operation Expenses in SCE’s statement of income. </w:t>
      </w:r>
    </w:p>
    <w:p w14:paraId="65166C04" w14:textId="60FA8089" w:rsidR="00891882" w:rsidRPr="009C75AE" w:rsidRDefault="00891882" w:rsidP="00891882">
      <w:pPr>
        <w:rPr>
          <w:rFonts w:ascii="Calibri" w:eastAsia="Times New Roman" w:hAnsi="Calibri" w:cs="Times New Roman"/>
          <w:color w:val="000000" w:themeColor="text1"/>
          <w:sz w:val="24"/>
          <w:szCs w:val="24"/>
        </w:rPr>
      </w:pPr>
      <w:r w:rsidRPr="79B70208">
        <w:rPr>
          <w:rFonts w:ascii="Calibri" w:eastAsia="Times New Roman" w:hAnsi="Calibri" w:cs="Times New Roman"/>
          <w:color w:val="000000" w:themeColor="text1"/>
          <w:sz w:val="24"/>
          <w:szCs w:val="24"/>
        </w:rPr>
        <w:t>In May 2019, the California Public Utilities Commission (“CPUC”) approved a final decision in SCE’s 2018 general rate case</w:t>
      </w:r>
      <w:r w:rsidR="00CC0AD1">
        <w:rPr>
          <w:rFonts w:ascii="Calibri" w:eastAsia="Times New Roman" w:hAnsi="Calibri" w:cs="Times New Roman"/>
          <w:color w:val="000000" w:themeColor="text1"/>
          <w:sz w:val="24"/>
          <w:szCs w:val="24"/>
        </w:rPr>
        <w:t xml:space="preserve"> (GRC)</w:t>
      </w:r>
      <w:r w:rsidR="400408BE" w:rsidRPr="79B70208">
        <w:rPr>
          <w:rFonts w:ascii="Calibri" w:eastAsia="Times New Roman" w:hAnsi="Calibri" w:cs="Times New Roman"/>
          <w:color w:val="000000" w:themeColor="text1"/>
          <w:sz w:val="24"/>
          <w:szCs w:val="24"/>
        </w:rPr>
        <w:t xml:space="preserve"> proceeding</w:t>
      </w:r>
      <w:r w:rsidR="005D2670" w:rsidRPr="79B70208">
        <w:rPr>
          <w:rFonts w:ascii="Calibri" w:eastAsia="Times New Roman" w:hAnsi="Calibri" w:cs="Times New Roman"/>
          <w:color w:val="000000" w:themeColor="text1"/>
          <w:sz w:val="24"/>
          <w:szCs w:val="24"/>
        </w:rPr>
        <w:t xml:space="preserve">. </w:t>
      </w:r>
      <w:r w:rsidR="00486290" w:rsidRPr="4E650F7A">
        <w:rPr>
          <w:rFonts w:ascii="Calibri" w:eastAsia="Times New Roman" w:hAnsi="Calibri" w:cs="Times New Roman"/>
          <w:color w:val="000000" w:themeColor="text1"/>
          <w:sz w:val="24"/>
          <w:szCs w:val="24"/>
        </w:rPr>
        <w:t xml:space="preserve"> </w:t>
      </w:r>
      <w:r w:rsidR="00F742BE">
        <w:rPr>
          <w:rFonts w:ascii="Calibri" w:eastAsia="Times New Roman" w:hAnsi="Calibri" w:cs="Times New Roman"/>
          <w:color w:val="000000" w:themeColor="text1"/>
          <w:sz w:val="24"/>
          <w:szCs w:val="24"/>
        </w:rPr>
        <w:t>Although</w:t>
      </w:r>
      <w:r w:rsidR="00F742BE" w:rsidRPr="4E650F7A">
        <w:rPr>
          <w:rFonts w:ascii="Calibri" w:eastAsia="Times New Roman" w:hAnsi="Calibri" w:cs="Times New Roman"/>
          <w:color w:val="000000" w:themeColor="text1"/>
          <w:sz w:val="24"/>
          <w:szCs w:val="24"/>
        </w:rPr>
        <w:t xml:space="preserve"> </w:t>
      </w:r>
      <w:r w:rsidR="00486290" w:rsidRPr="4E650F7A">
        <w:rPr>
          <w:rFonts w:ascii="Calibri" w:eastAsia="Times New Roman" w:hAnsi="Calibri" w:cs="Times New Roman"/>
          <w:color w:val="000000" w:themeColor="text1"/>
          <w:sz w:val="24"/>
          <w:szCs w:val="24"/>
        </w:rPr>
        <w:t>the</w:t>
      </w:r>
      <w:r w:rsidR="00F742BE">
        <w:rPr>
          <w:rFonts w:ascii="Calibri" w:eastAsia="Times New Roman" w:hAnsi="Calibri" w:cs="Times New Roman"/>
          <w:color w:val="000000" w:themeColor="text1"/>
          <w:sz w:val="24"/>
          <w:szCs w:val="24"/>
        </w:rPr>
        <w:t xml:space="preserve"> GRC is </w:t>
      </w:r>
      <w:r w:rsidR="00B51A8D">
        <w:rPr>
          <w:rFonts w:ascii="Calibri" w:eastAsia="Times New Roman" w:hAnsi="Calibri" w:cs="Times New Roman"/>
          <w:color w:val="000000" w:themeColor="text1"/>
          <w:sz w:val="24"/>
          <w:szCs w:val="24"/>
        </w:rPr>
        <w:t>a</w:t>
      </w:r>
      <w:r w:rsidR="003C4166">
        <w:rPr>
          <w:rFonts w:ascii="Calibri" w:eastAsia="Times New Roman" w:hAnsi="Calibri" w:cs="Times New Roman"/>
          <w:color w:val="000000" w:themeColor="text1"/>
          <w:sz w:val="24"/>
          <w:szCs w:val="24"/>
        </w:rPr>
        <w:t xml:space="preserve"> </w:t>
      </w:r>
      <w:r w:rsidR="00B51A8D">
        <w:rPr>
          <w:rFonts w:ascii="Calibri" w:eastAsia="Times New Roman" w:hAnsi="Calibri" w:cs="Times New Roman"/>
          <w:color w:val="000000" w:themeColor="text1"/>
          <w:sz w:val="24"/>
          <w:szCs w:val="24"/>
        </w:rPr>
        <w:t xml:space="preserve">recurring event, the unprecedented delay in </w:t>
      </w:r>
      <w:r w:rsidR="003C4166" w:rsidRPr="4E650F7A">
        <w:rPr>
          <w:rFonts w:ascii="Calibri" w:eastAsia="Times New Roman" w:hAnsi="Calibri" w:cs="Times New Roman"/>
          <w:color w:val="000000" w:themeColor="text1"/>
          <w:sz w:val="24"/>
          <w:szCs w:val="24"/>
        </w:rPr>
        <w:t>CPUC</w:t>
      </w:r>
      <w:r w:rsidR="003C4166">
        <w:rPr>
          <w:rFonts w:ascii="Calibri" w:eastAsia="Times New Roman" w:hAnsi="Calibri" w:cs="Times New Roman"/>
          <w:color w:val="000000" w:themeColor="text1"/>
          <w:sz w:val="24"/>
          <w:szCs w:val="24"/>
        </w:rPr>
        <w:t xml:space="preserve"> approval </w:t>
      </w:r>
      <w:r w:rsidR="002B51D3">
        <w:rPr>
          <w:rFonts w:ascii="Calibri" w:eastAsia="Times New Roman" w:hAnsi="Calibri" w:cs="Times New Roman"/>
          <w:color w:val="000000" w:themeColor="text1"/>
          <w:sz w:val="24"/>
          <w:szCs w:val="24"/>
        </w:rPr>
        <w:t xml:space="preserve">of SCE’s 2018 GRC </w:t>
      </w:r>
      <w:r w:rsidR="003C4166">
        <w:rPr>
          <w:rFonts w:ascii="Calibri" w:eastAsia="Times New Roman" w:hAnsi="Calibri" w:cs="Times New Roman"/>
          <w:color w:val="000000" w:themeColor="text1"/>
          <w:sz w:val="24"/>
          <w:szCs w:val="24"/>
        </w:rPr>
        <w:t xml:space="preserve">caused a cross-year true-up. </w:t>
      </w:r>
      <w:r w:rsidRPr="79B70208">
        <w:rPr>
          <w:rFonts w:ascii="Calibri" w:eastAsia="Times New Roman" w:hAnsi="Calibri" w:cs="Times New Roman"/>
          <w:color w:val="000000" w:themeColor="text1"/>
          <w:sz w:val="24"/>
          <w:szCs w:val="24"/>
        </w:rPr>
        <w:t>The revenue requirements for 2018 are retroactive to January 1, 2018</w:t>
      </w:r>
      <w:r w:rsidR="1F0D06E4" w:rsidRPr="79B70208">
        <w:rPr>
          <w:rFonts w:ascii="Calibri" w:eastAsia="Times New Roman" w:hAnsi="Calibri" w:cs="Times New Roman"/>
          <w:color w:val="000000" w:themeColor="text1"/>
          <w:sz w:val="24"/>
          <w:szCs w:val="24"/>
        </w:rPr>
        <w:t>,</w:t>
      </w:r>
      <w:r w:rsidRPr="79B70208">
        <w:rPr>
          <w:rFonts w:ascii="Calibri" w:eastAsia="Times New Roman" w:hAnsi="Calibri" w:cs="Times New Roman"/>
          <w:color w:val="000000" w:themeColor="text1"/>
          <w:sz w:val="24"/>
          <w:szCs w:val="24"/>
        </w:rPr>
        <w:t xml:space="preserve"> resulting in the recording of prior</w:t>
      </w:r>
      <w:r w:rsidR="002B5BC0">
        <w:rPr>
          <w:rFonts w:ascii="Calibri" w:eastAsia="Times New Roman" w:hAnsi="Calibri" w:cs="Times New Roman"/>
          <w:color w:val="000000" w:themeColor="text1"/>
          <w:sz w:val="24"/>
          <w:szCs w:val="24"/>
        </w:rPr>
        <w:t>-</w:t>
      </w:r>
      <w:r w:rsidRPr="79B70208">
        <w:rPr>
          <w:rFonts w:ascii="Calibri" w:eastAsia="Times New Roman" w:hAnsi="Calibri" w:cs="Times New Roman"/>
          <w:color w:val="000000" w:themeColor="text1"/>
          <w:sz w:val="24"/>
          <w:szCs w:val="24"/>
        </w:rPr>
        <w:t xml:space="preserve">period </w:t>
      </w:r>
      <w:r w:rsidR="002B5BC0">
        <w:rPr>
          <w:rFonts w:ascii="Calibri" w:eastAsia="Times New Roman" w:hAnsi="Calibri" w:cs="Times New Roman"/>
          <w:color w:val="000000" w:themeColor="text1"/>
          <w:sz w:val="24"/>
          <w:szCs w:val="24"/>
        </w:rPr>
        <w:t xml:space="preserve">true-up </w:t>
      </w:r>
      <w:r w:rsidRPr="79B70208">
        <w:rPr>
          <w:rFonts w:ascii="Calibri" w:eastAsia="Times New Roman" w:hAnsi="Calibri" w:cs="Times New Roman"/>
          <w:color w:val="000000" w:themeColor="text1"/>
          <w:sz w:val="24"/>
          <w:szCs w:val="24"/>
        </w:rPr>
        <w:t>impacts in 2019</w:t>
      </w:r>
      <w:r w:rsidR="005D2670" w:rsidRPr="79B70208">
        <w:rPr>
          <w:rFonts w:ascii="Calibri" w:eastAsia="Times New Roman" w:hAnsi="Calibri" w:cs="Times New Roman"/>
          <w:color w:val="000000" w:themeColor="text1"/>
          <w:sz w:val="24"/>
          <w:szCs w:val="24"/>
        </w:rPr>
        <w:t xml:space="preserve">.  </w:t>
      </w:r>
      <w:r w:rsidR="005B2237">
        <w:rPr>
          <w:rFonts w:ascii="Calibri" w:eastAsia="Times New Roman" w:hAnsi="Calibri" w:cs="Times New Roman"/>
          <w:color w:val="000000" w:themeColor="text1"/>
          <w:sz w:val="24"/>
          <w:szCs w:val="24"/>
        </w:rPr>
        <w:t xml:space="preserve">Among other things, </w:t>
      </w:r>
      <w:r w:rsidRPr="79B70208">
        <w:rPr>
          <w:rFonts w:ascii="Calibri" w:eastAsia="Times New Roman" w:hAnsi="Calibri" w:cs="Times New Roman"/>
          <w:color w:val="000000" w:themeColor="text1"/>
          <w:sz w:val="24"/>
          <w:szCs w:val="24"/>
        </w:rPr>
        <w:t xml:space="preserve">the </w:t>
      </w:r>
      <w:r w:rsidR="00E63F8D">
        <w:rPr>
          <w:rFonts w:ascii="Calibri" w:eastAsia="Times New Roman" w:hAnsi="Calibri" w:cs="Times New Roman"/>
          <w:color w:val="000000" w:themeColor="text1"/>
          <w:sz w:val="24"/>
          <w:szCs w:val="24"/>
        </w:rPr>
        <w:t xml:space="preserve">Administrative </w:t>
      </w:r>
      <w:r w:rsidRPr="79B70208">
        <w:rPr>
          <w:rFonts w:ascii="Calibri" w:eastAsia="Times New Roman" w:hAnsi="Calibri" w:cs="Times New Roman"/>
          <w:color w:val="000000" w:themeColor="text1"/>
          <w:sz w:val="24"/>
          <w:szCs w:val="24"/>
        </w:rPr>
        <w:t>&amp;</w:t>
      </w:r>
      <w:r w:rsidR="00ED760C">
        <w:rPr>
          <w:rFonts w:ascii="Calibri" w:eastAsia="Times New Roman" w:hAnsi="Calibri" w:cs="Times New Roman"/>
          <w:color w:val="000000" w:themeColor="text1"/>
          <w:sz w:val="24"/>
          <w:szCs w:val="24"/>
        </w:rPr>
        <w:t xml:space="preserve"> </w:t>
      </w:r>
      <w:r w:rsidRPr="79B70208">
        <w:rPr>
          <w:rFonts w:ascii="Calibri" w:eastAsia="Times New Roman" w:hAnsi="Calibri" w:cs="Times New Roman"/>
          <w:color w:val="000000" w:themeColor="text1"/>
          <w:sz w:val="24"/>
          <w:szCs w:val="24"/>
        </w:rPr>
        <w:t>G</w:t>
      </w:r>
      <w:r w:rsidR="00E63F8D">
        <w:rPr>
          <w:rFonts w:ascii="Calibri" w:eastAsia="Times New Roman" w:hAnsi="Calibri" w:cs="Times New Roman"/>
          <w:color w:val="000000" w:themeColor="text1"/>
          <w:sz w:val="24"/>
          <w:szCs w:val="24"/>
        </w:rPr>
        <w:t>eneral</w:t>
      </w:r>
      <w:r w:rsidRPr="79B70208">
        <w:rPr>
          <w:rFonts w:ascii="Calibri" w:eastAsia="Times New Roman" w:hAnsi="Calibri" w:cs="Times New Roman"/>
          <w:color w:val="000000" w:themeColor="text1"/>
          <w:sz w:val="24"/>
          <w:szCs w:val="24"/>
        </w:rPr>
        <w:t xml:space="preserve"> </w:t>
      </w:r>
      <w:r w:rsidR="006C3CC6">
        <w:rPr>
          <w:rFonts w:ascii="Calibri" w:eastAsia="Times New Roman" w:hAnsi="Calibri" w:cs="Times New Roman"/>
          <w:color w:val="000000" w:themeColor="text1"/>
          <w:sz w:val="24"/>
          <w:szCs w:val="24"/>
        </w:rPr>
        <w:t xml:space="preserve">(A&amp;G) </w:t>
      </w:r>
      <w:r w:rsidRPr="79B70208">
        <w:rPr>
          <w:rFonts w:ascii="Calibri" w:eastAsia="Times New Roman" w:hAnsi="Calibri" w:cs="Times New Roman"/>
          <w:color w:val="000000" w:themeColor="text1"/>
          <w:sz w:val="24"/>
          <w:szCs w:val="24"/>
        </w:rPr>
        <w:t>and P</w:t>
      </w:r>
      <w:r w:rsidR="00E63F8D">
        <w:rPr>
          <w:rFonts w:ascii="Calibri" w:eastAsia="Times New Roman" w:hAnsi="Calibri" w:cs="Times New Roman"/>
          <w:color w:val="000000" w:themeColor="text1"/>
          <w:sz w:val="24"/>
          <w:szCs w:val="24"/>
        </w:rPr>
        <w:t xml:space="preserve">ension </w:t>
      </w:r>
      <w:r w:rsidRPr="79B70208">
        <w:rPr>
          <w:rFonts w:ascii="Calibri" w:eastAsia="Times New Roman" w:hAnsi="Calibri" w:cs="Times New Roman"/>
          <w:color w:val="000000" w:themeColor="text1"/>
          <w:sz w:val="24"/>
          <w:szCs w:val="24"/>
        </w:rPr>
        <w:t>&amp;</w:t>
      </w:r>
      <w:r w:rsidR="00ED760C">
        <w:rPr>
          <w:rFonts w:ascii="Calibri" w:eastAsia="Times New Roman" w:hAnsi="Calibri" w:cs="Times New Roman"/>
          <w:color w:val="000000" w:themeColor="text1"/>
          <w:sz w:val="24"/>
          <w:szCs w:val="24"/>
        </w:rPr>
        <w:t xml:space="preserve"> </w:t>
      </w:r>
      <w:r w:rsidRPr="79B70208">
        <w:rPr>
          <w:rFonts w:ascii="Calibri" w:eastAsia="Times New Roman" w:hAnsi="Calibri" w:cs="Times New Roman"/>
          <w:color w:val="000000" w:themeColor="text1"/>
          <w:sz w:val="24"/>
          <w:szCs w:val="24"/>
        </w:rPr>
        <w:t>B</w:t>
      </w:r>
      <w:r w:rsidR="00E63F8D">
        <w:rPr>
          <w:rFonts w:ascii="Calibri" w:eastAsia="Times New Roman" w:hAnsi="Calibri" w:cs="Times New Roman"/>
          <w:color w:val="000000" w:themeColor="text1"/>
          <w:sz w:val="24"/>
          <w:szCs w:val="24"/>
        </w:rPr>
        <w:t>enefit</w:t>
      </w:r>
      <w:r w:rsidR="006C3CC6">
        <w:rPr>
          <w:rFonts w:ascii="Calibri" w:eastAsia="Times New Roman" w:hAnsi="Calibri" w:cs="Times New Roman"/>
          <w:color w:val="000000" w:themeColor="text1"/>
          <w:sz w:val="24"/>
          <w:szCs w:val="24"/>
        </w:rPr>
        <w:t xml:space="preserve"> (P&amp;B)</w:t>
      </w:r>
      <w:r w:rsidRPr="79B70208">
        <w:rPr>
          <w:rFonts w:ascii="Calibri" w:eastAsia="Times New Roman" w:hAnsi="Calibri" w:cs="Times New Roman"/>
          <w:color w:val="000000" w:themeColor="text1"/>
          <w:sz w:val="24"/>
          <w:szCs w:val="24"/>
        </w:rPr>
        <w:t xml:space="preserve"> capitalization rates</w:t>
      </w:r>
      <w:r w:rsidR="00D95000">
        <w:rPr>
          <w:rFonts w:ascii="Calibri" w:eastAsia="Times New Roman" w:hAnsi="Calibri" w:cs="Times New Roman"/>
          <w:color w:val="000000" w:themeColor="text1"/>
          <w:sz w:val="24"/>
          <w:szCs w:val="24"/>
        </w:rPr>
        <w:t xml:space="preserve"> were updated </w:t>
      </w:r>
      <w:r w:rsidRPr="79B70208">
        <w:rPr>
          <w:rFonts w:ascii="Calibri" w:eastAsia="Times New Roman" w:hAnsi="Calibri" w:cs="Times New Roman"/>
          <w:color w:val="000000" w:themeColor="text1"/>
          <w:sz w:val="24"/>
          <w:szCs w:val="24"/>
        </w:rPr>
        <w:t>from 20% to 24.05%</w:t>
      </w:r>
      <w:r w:rsidR="00643A14">
        <w:rPr>
          <w:rFonts w:ascii="Calibri" w:eastAsia="Times New Roman" w:hAnsi="Calibri" w:cs="Times New Roman"/>
          <w:color w:val="000000" w:themeColor="text1"/>
          <w:sz w:val="24"/>
          <w:szCs w:val="24"/>
        </w:rPr>
        <w:t>,</w:t>
      </w:r>
      <w:r w:rsidRPr="79B70208">
        <w:rPr>
          <w:rFonts w:ascii="Calibri" w:eastAsia="Times New Roman" w:hAnsi="Calibri" w:cs="Times New Roman"/>
          <w:color w:val="000000" w:themeColor="text1"/>
          <w:sz w:val="24"/>
          <w:szCs w:val="24"/>
        </w:rPr>
        <w:t xml:space="preserve"> and </w:t>
      </w:r>
      <w:r w:rsidR="00A9711B">
        <w:rPr>
          <w:rFonts w:ascii="Calibri" w:eastAsia="Times New Roman" w:hAnsi="Calibri" w:cs="Times New Roman"/>
          <w:color w:val="000000" w:themeColor="text1"/>
          <w:sz w:val="24"/>
          <w:szCs w:val="24"/>
        </w:rPr>
        <w:t xml:space="preserve">from </w:t>
      </w:r>
      <w:r w:rsidRPr="79B70208">
        <w:rPr>
          <w:rFonts w:ascii="Calibri" w:eastAsia="Times New Roman" w:hAnsi="Calibri" w:cs="Times New Roman"/>
          <w:color w:val="000000" w:themeColor="text1"/>
          <w:sz w:val="24"/>
          <w:szCs w:val="24"/>
        </w:rPr>
        <w:t xml:space="preserve">39.8% </w:t>
      </w:r>
      <w:r w:rsidR="00643A14">
        <w:rPr>
          <w:rFonts w:ascii="Calibri" w:eastAsia="Times New Roman" w:hAnsi="Calibri" w:cs="Times New Roman"/>
          <w:color w:val="000000" w:themeColor="text1"/>
          <w:sz w:val="24"/>
          <w:szCs w:val="24"/>
        </w:rPr>
        <w:t>to</w:t>
      </w:r>
      <w:r w:rsidR="00643A14" w:rsidRPr="79B70208">
        <w:rPr>
          <w:rFonts w:ascii="Calibri" w:eastAsia="Times New Roman" w:hAnsi="Calibri" w:cs="Times New Roman"/>
          <w:color w:val="000000" w:themeColor="text1"/>
          <w:sz w:val="24"/>
          <w:szCs w:val="24"/>
        </w:rPr>
        <w:t xml:space="preserve"> </w:t>
      </w:r>
      <w:r w:rsidRPr="79B70208">
        <w:rPr>
          <w:rFonts w:ascii="Calibri" w:eastAsia="Times New Roman" w:hAnsi="Calibri" w:cs="Times New Roman"/>
          <w:color w:val="000000" w:themeColor="text1"/>
          <w:sz w:val="24"/>
          <w:szCs w:val="24"/>
        </w:rPr>
        <w:t>45.5%</w:t>
      </w:r>
      <w:r w:rsidR="00643A14">
        <w:rPr>
          <w:rFonts w:ascii="Calibri" w:eastAsia="Times New Roman" w:hAnsi="Calibri" w:cs="Times New Roman"/>
          <w:color w:val="000000" w:themeColor="text1"/>
          <w:sz w:val="24"/>
          <w:szCs w:val="24"/>
        </w:rPr>
        <w:t>,</w:t>
      </w:r>
      <w:r w:rsidRPr="79B70208">
        <w:rPr>
          <w:rFonts w:ascii="Calibri" w:eastAsia="Times New Roman" w:hAnsi="Calibri" w:cs="Times New Roman"/>
          <w:color w:val="000000" w:themeColor="text1"/>
          <w:sz w:val="24"/>
          <w:szCs w:val="24"/>
        </w:rPr>
        <w:t xml:space="preserve"> </w:t>
      </w:r>
      <w:r w:rsidR="000902B3">
        <w:rPr>
          <w:rFonts w:ascii="Calibri" w:eastAsia="Times New Roman" w:hAnsi="Calibri" w:cs="Times New Roman"/>
          <w:color w:val="000000" w:themeColor="text1"/>
          <w:sz w:val="24"/>
          <w:szCs w:val="24"/>
        </w:rPr>
        <w:t>respectively</w:t>
      </w:r>
      <w:r w:rsidRPr="79B70208">
        <w:rPr>
          <w:rFonts w:ascii="Calibri" w:eastAsia="Times New Roman" w:hAnsi="Calibri" w:cs="Times New Roman"/>
          <w:color w:val="000000" w:themeColor="text1"/>
          <w:sz w:val="24"/>
          <w:szCs w:val="24"/>
        </w:rPr>
        <w:t xml:space="preserve">.  </w:t>
      </w:r>
      <w:r w:rsidR="000C073B" w:rsidRPr="79B70208">
        <w:rPr>
          <w:rFonts w:ascii="Calibri" w:eastAsia="Times New Roman" w:hAnsi="Calibri" w:cs="Times New Roman"/>
          <w:color w:val="000000" w:themeColor="text1"/>
          <w:sz w:val="24"/>
          <w:szCs w:val="24"/>
        </w:rPr>
        <w:t>Also,</w:t>
      </w:r>
      <w:r w:rsidRPr="79B70208">
        <w:rPr>
          <w:rFonts w:ascii="Calibri" w:eastAsia="Times New Roman" w:hAnsi="Calibri" w:cs="Times New Roman"/>
          <w:color w:val="000000" w:themeColor="text1"/>
          <w:sz w:val="24"/>
          <w:szCs w:val="24"/>
        </w:rPr>
        <w:t xml:space="preserve"> the Short-Term Incentive Plan (STIP</w:t>
      </w:r>
      <w:r w:rsidR="1D2ABBE0" w:rsidRPr="79B70208">
        <w:rPr>
          <w:rFonts w:ascii="Calibri" w:eastAsia="Times New Roman" w:hAnsi="Calibri" w:cs="Times New Roman"/>
          <w:color w:val="000000" w:themeColor="text1"/>
          <w:sz w:val="24"/>
          <w:szCs w:val="24"/>
        </w:rPr>
        <w:t>/NOIC</w:t>
      </w:r>
      <w:r w:rsidRPr="79B70208">
        <w:rPr>
          <w:rFonts w:ascii="Calibri" w:eastAsia="Times New Roman" w:hAnsi="Calibri" w:cs="Times New Roman"/>
          <w:color w:val="000000" w:themeColor="text1"/>
          <w:sz w:val="24"/>
          <w:szCs w:val="24"/>
        </w:rPr>
        <w:t>) and Executive Incentive Compensation (EIC</w:t>
      </w:r>
      <w:r w:rsidR="6E809F53" w:rsidRPr="79B70208">
        <w:rPr>
          <w:rFonts w:ascii="Calibri" w:eastAsia="Times New Roman" w:hAnsi="Calibri" w:cs="Times New Roman"/>
          <w:color w:val="000000" w:themeColor="text1"/>
          <w:sz w:val="24"/>
          <w:szCs w:val="24"/>
        </w:rPr>
        <w:t>/OEIC</w:t>
      </w:r>
      <w:r w:rsidRPr="79B70208">
        <w:rPr>
          <w:rFonts w:ascii="Calibri" w:eastAsia="Times New Roman" w:hAnsi="Calibri" w:cs="Times New Roman"/>
          <w:color w:val="000000" w:themeColor="text1"/>
          <w:sz w:val="24"/>
          <w:szCs w:val="24"/>
        </w:rPr>
        <w:t xml:space="preserve">) capitalization rates were changed from the A&amp;G </w:t>
      </w:r>
      <w:r w:rsidR="00265F9C">
        <w:rPr>
          <w:rFonts w:ascii="Calibri" w:eastAsia="Times New Roman" w:hAnsi="Calibri" w:cs="Times New Roman"/>
          <w:color w:val="000000" w:themeColor="text1"/>
          <w:sz w:val="24"/>
          <w:szCs w:val="24"/>
        </w:rPr>
        <w:t xml:space="preserve">rate </w:t>
      </w:r>
      <w:r w:rsidRPr="79B70208">
        <w:rPr>
          <w:rFonts w:ascii="Calibri" w:eastAsia="Times New Roman" w:hAnsi="Calibri" w:cs="Times New Roman"/>
          <w:color w:val="000000" w:themeColor="text1"/>
          <w:sz w:val="24"/>
          <w:szCs w:val="24"/>
        </w:rPr>
        <w:t>to the P&amp;B rate.</w:t>
      </w:r>
      <w:r w:rsidR="003F6E4B">
        <w:rPr>
          <w:rFonts w:ascii="Calibri" w:eastAsia="Times New Roman" w:hAnsi="Calibri" w:cs="Times New Roman"/>
          <w:color w:val="000000" w:themeColor="text1"/>
          <w:sz w:val="24"/>
          <w:szCs w:val="24"/>
        </w:rPr>
        <w:t xml:space="preserve"> These changes led to true-up adjustments of 2018 O&amp;M expenses </w:t>
      </w:r>
      <w:r w:rsidR="00911F79">
        <w:rPr>
          <w:rFonts w:ascii="Calibri" w:eastAsia="Times New Roman" w:hAnsi="Calibri" w:cs="Times New Roman"/>
          <w:color w:val="000000" w:themeColor="text1"/>
          <w:sz w:val="24"/>
          <w:szCs w:val="24"/>
        </w:rPr>
        <w:t>recorded</w:t>
      </w:r>
      <w:r w:rsidR="003F6E4B">
        <w:rPr>
          <w:rFonts w:ascii="Calibri" w:eastAsia="Times New Roman" w:hAnsi="Calibri" w:cs="Times New Roman"/>
          <w:color w:val="000000" w:themeColor="text1"/>
          <w:sz w:val="24"/>
          <w:szCs w:val="24"/>
        </w:rPr>
        <w:t xml:space="preserve"> </w:t>
      </w:r>
      <w:r w:rsidR="00A8426D" w:rsidRPr="4E650F7A">
        <w:rPr>
          <w:rFonts w:ascii="Calibri" w:eastAsia="Times New Roman" w:hAnsi="Calibri" w:cs="Times New Roman"/>
          <w:color w:val="000000" w:themeColor="text1"/>
          <w:sz w:val="24"/>
          <w:szCs w:val="24"/>
        </w:rPr>
        <w:t>in</w:t>
      </w:r>
      <w:r w:rsidR="003F6E4B" w:rsidRPr="4E650F7A">
        <w:rPr>
          <w:rFonts w:ascii="Calibri" w:eastAsia="Times New Roman" w:hAnsi="Calibri" w:cs="Times New Roman"/>
          <w:color w:val="000000" w:themeColor="text1"/>
          <w:sz w:val="24"/>
          <w:szCs w:val="24"/>
        </w:rPr>
        <w:t xml:space="preserve"> </w:t>
      </w:r>
      <w:r w:rsidR="003F6E4B">
        <w:rPr>
          <w:rFonts w:ascii="Calibri" w:eastAsia="Times New Roman" w:hAnsi="Calibri" w:cs="Times New Roman"/>
          <w:color w:val="000000" w:themeColor="text1"/>
          <w:sz w:val="24"/>
          <w:szCs w:val="24"/>
        </w:rPr>
        <w:t>2019.</w:t>
      </w:r>
      <w:r w:rsidR="005A6BBA" w:rsidRPr="009C75AE">
        <w:rPr>
          <w:rFonts w:ascii="Calibri" w:eastAsia="Times New Roman" w:hAnsi="Calibri" w:cs="Times New Roman"/>
          <w:color w:val="000000" w:themeColor="text1"/>
          <w:sz w:val="24"/>
          <w:szCs w:val="24"/>
        </w:rPr>
        <w:t xml:space="preserve"> </w:t>
      </w:r>
      <w:r w:rsidR="009C75AE" w:rsidRPr="009C75AE">
        <w:rPr>
          <w:rFonts w:ascii="Calibri" w:eastAsia="Times New Roman" w:hAnsi="Calibri" w:cs="Times New Roman"/>
          <w:color w:val="000000" w:themeColor="text1"/>
          <w:sz w:val="24"/>
          <w:szCs w:val="24"/>
        </w:rPr>
        <w:t>The 2018 GRC decision</w:t>
      </w:r>
      <w:r w:rsidR="00265F9C">
        <w:rPr>
          <w:rFonts w:ascii="Calibri" w:eastAsia="Times New Roman" w:hAnsi="Calibri" w:cs="Times New Roman"/>
          <w:color w:val="000000" w:themeColor="text1"/>
          <w:sz w:val="24"/>
          <w:szCs w:val="24"/>
        </w:rPr>
        <w:t xml:space="preserve"> </w:t>
      </w:r>
      <w:r w:rsidR="009C75AE" w:rsidRPr="009C75AE">
        <w:rPr>
          <w:rFonts w:ascii="Calibri" w:eastAsia="Times New Roman" w:hAnsi="Calibri" w:cs="Times New Roman"/>
          <w:color w:val="000000" w:themeColor="text1"/>
          <w:sz w:val="24"/>
          <w:szCs w:val="24"/>
        </w:rPr>
        <w:t xml:space="preserve">also refined the calculations for the return of excess accumulated deferred </w:t>
      </w:r>
      <w:r w:rsidR="006D776C">
        <w:rPr>
          <w:rFonts w:ascii="Calibri" w:eastAsia="Times New Roman" w:hAnsi="Calibri" w:cs="Times New Roman"/>
          <w:color w:val="000000" w:themeColor="text1"/>
          <w:sz w:val="24"/>
          <w:szCs w:val="24"/>
        </w:rPr>
        <w:t xml:space="preserve">income </w:t>
      </w:r>
      <w:r w:rsidR="009C75AE" w:rsidRPr="009C75AE">
        <w:rPr>
          <w:rFonts w:ascii="Calibri" w:eastAsia="Times New Roman" w:hAnsi="Calibri" w:cs="Times New Roman"/>
          <w:color w:val="000000" w:themeColor="text1"/>
          <w:sz w:val="24"/>
          <w:szCs w:val="24"/>
        </w:rPr>
        <w:t>taxes to customers</w:t>
      </w:r>
      <w:r w:rsidR="008664AC">
        <w:rPr>
          <w:rFonts w:ascii="Calibri" w:eastAsia="Times New Roman" w:hAnsi="Calibri" w:cs="Times New Roman"/>
          <w:color w:val="000000" w:themeColor="text1"/>
          <w:sz w:val="24"/>
          <w:szCs w:val="24"/>
        </w:rPr>
        <w:t>, which</w:t>
      </w:r>
      <w:r w:rsidR="009C75AE" w:rsidRPr="009C75AE">
        <w:rPr>
          <w:rFonts w:ascii="Calibri" w:eastAsia="Times New Roman" w:hAnsi="Calibri" w:cs="Times New Roman"/>
          <w:color w:val="000000" w:themeColor="text1"/>
          <w:sz w:val="24"/>
          <w:szCs w:val="24"/>
        </w:rPr>
        <w:t xml:space="preserve"> resulted in incremental </w:t>
      </w:r>
      <w:r w:rsidR="006D776C">
        <w:rPr>
          <w:rFonts w:ascii="Calibri" w:eastAsia="Times New Roman" w:hAnsi="Calibri" w:cs="Times New Roman"/>
          <w:color w:val="000000" w:themeColor="text1"/>
          <w:sz w:val="24"/>
          <w:szCs w:val="24"/>
        </w:rPr>
        <w:t xml:space="preserve">income </w:t>
      </w:r>
      <w:r w:rsidR="009C75AE" w:rsidRPr="009C75AE">
        <w:rPr>
          <w:rFonts w:ascii="Calibri" w:eastAsia="Times New Roman" w:hAnsi="Calibri" w:cs="Times New Roman"/>
          <w:color w:val="000000" w:themeColor="text1"/>
          <w:sz w:val="24"/>
          <w:szCs w:val="24"/>
        </w:rPr>
        <w:t>tax benefits true</w:t>
      </w:r>
      <w:r w:rsidR="008664AC">
        <w:rPr>
          <w:rFonts w:ascii="Calibri" w:eastAsia="Times New Roman" w:hAnsi="Calibri" w:cs="Times New Roman"/>
          <w:color w:val="000000" w:themeColor="text1"/>
          <w:sz w:val="24"/>
          <w:szCs w:val="24"/>
        </w:rPr>
        <w:t>-</w:t>
      </w:r>
      <w:r w:rsidR="009C75AE" w:rsidRPr="009C75AE">
        <w:rPr>
          <w:rFonts w:ascii="Calibri" w:eastAsia="Times New Roman" w:hAnsi="Calibri" w:cs="Times New Roman"/>
          <w:color w:val="000000" w:themeColor="text1"/>
          <w:sz w:val="24"/>
          <w:szCs w:val="24"/>
        </w:rPr>
        <w:t>up in 2019</w:t>
      </w:r>
      <w:r w:rsidR="009C75AE">
        <w:rPr>
          <w:rFonts w:ascii="Calibri" w:eastAsia="Times New Roman" w:hAnsi="Calibri" w:cs="Times New Roman"/>
          <w:color w:val="000000" w:themeColor="text1"/>
          <w:sz w:val="24"/>
          <w:szCs w:val="24"/>
        </w:rPr>
        <w:t>.</w:t>
      </w:r>
    </w:p>
    <w:p w14:paraId="79792D86" w14:textId="77777777" w:rsidR="00891882" w:rsidRDefault="00891882" w:rsidP="00B314F3">
      <w:pPr>
        <w:rPr>
          <w:rFonts w:ascii="Calibri" w:eastAsia="Times New Roman" w:hAnsi="Calibri" w:cs="Times New Roman"/>
          <w:color w:val="000000"/>
          <w:sz w:val="24"/>
          <w:szCs w:val="24"/>
        </w:rPr>
      </w:pPr>
    </w:p>
    <w:p w14:paraId="49B05B9A" w14:textId="77777777" w:rsidR="00891882" w:rsidRDefault="00891882" w:rsidP="00B314F3">
      <w:pPr>
        <w:rPr>
          <w:rFonts w:ascii="Calibri" w:eastAsia="Times New Roman" w:hAnsi="Calibri" w:cs="Times New Roman"/>
          <w:color w:val="000000"/>
          <w:sz w:val="24"/>
          <w:szCs w:val="24"/>
        </w:rPr>
      </w:pPr>
    </w:p>
    <w:p w14:paraId="41B309AE" w14:textId="77777777" w:rsidR="00891882" w:rsidRDefault="00891882" w:rsidP="00B314F3">
      <w:pPr>
        <w:rPr>
          <w:rFonts w:ascii="Calibri" w:eastAsia="Times New Roman" w:hAnsi="Calibri" w:cs="Times New Roman"/>
          <w:color w:val="000000"/>
          <w:sz w:val="24"/>
          <w:szCs w:val="24"/>
        </w:rPr>
      </w:pPr>
    </w:p>
    <w:p w14:paraId="73F2FC96" w14:textId="12980FEB" w:rsidR="00CD4248" w:rsidRPr="00127C12" w:rsidRDefault="00CD4248" w:rsidP="00AA195E">
      <w:pPr>
        <w:rPr>
          <w:rFonts w:ascii="Calibri" w:eastAsia="Times New Roman" w:hAnsi="Calibri" w:cs="Times New Roman"/>
          <w:color w:val="000000"/>
          <w:sz w:val="24"/>
          <w:szCs w:val="24"/>
        </w:rPr>
      </w:pPr>
    </w:p>
    <w:sectPr w:rsidR="00CD4248" w:rsidRPr="00127C1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4B2EE" w14:textId="77777777" w:rsidR="001731FC" w:rsidRDefault="001731FC" w:rsidP="00466185">
      <w:pPr>
        <w:spacing w:after="0" w:line="240" w:lineRule="auto"/>
      </w:pPr>
      <w:r>
        <w:separator/>
      </w:r>
    </w:p>
  </w:endnote>
  <w:endnote w:type="continuationSeparator" w:id="0">
    <w:p w14:paraId="34C8C1DE" w14:textId="77777777" w:rsidR="001731FC" w:rsidRDefault="001731FC" w:rsidP="00466185">
      <w:pPr>
        <w:spacing w:after="0" w:line="240" w:lineRule="auto"/>
      </w:pPr>
      <w:r>
        <w:continuationSeparator/>
      </w:r>
    </w:p>
  </w:endnote>
  <w:endnote w:type="continuationNotice" w:id="1">
    <w:p w14:paraId="79C483D7" w14:textId="77777777" w:rsidR="001731FC" w:rsidRDefault="001731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5C6D8B" w14:textId="77777777" w:rsidR="001731FC" w:rsidRDefault="001731FC" w:rsidP="00466185">
      <w:pPr>
        <w:spacing w:after="0" w:line="240" w:lineRule="auto"/>
      </w:pPr>
      <w:r>
        <w:separator/>
      </w:r>
    </w:p>
  </w:footnote>
  <w:footnote w:type="continuationSeparator" w:id="0">
    <w:p w14:paraId="687F3C8D" w14:textId="77777777" w:rsidR="001731FC" w:rsidRDefault="001731FC" w:rsidP="00466185">
      <w:pPr>
        <w:spacing w:after="0" w:line="240" w:lineRule="auto"/>
      </w:pPr>
      <w:r>
        <w:continuationSeparator/>
      </w:r>
    </w:p>
  </w:footnote>
  <w:footnote w:type="continuationNotice" w:id="1">
    <w:p w14:paraId="41FAF58D" w14:textId="77777777" w:rsidR="001731FC" w:rsidRDefault="001731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D7390" w14:textId="2314AF6E" w:rsidR="00066A7C" w:rsidRDefault="00127C12" w:rsidP="00066A7C">
    <w:pPr>
      <w:pStyle w:val="Header"/>
      <w:jc w:val="right"/>
    </w:pPr>
    <w:r>
      <w:t>TO202</w:t>
    </w:r>
    <w:r w:rsidR="00E2442D">
      <w:t>1</w:t>
    </w:r>
    <w:r w:rsidR="00D0797E">
      <w:t xml:space="preserve"> </w:t>
    </w:r>
    <w:r w:rsidR="00066A7C">
      <w:t>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11DE59B0" w:rsidR="00466185" w:rsidRPr="00DD0216" w:rsidRDefault="00D0797E"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sidR="00120641">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15401B">
          <w:rPr>
            <w:rFonts w:cs="Times New Roman"/>
            <w:bCs/>
            <w:szCs w:val="18"/>
          </w:rPr>
          <w:t>2</w:t>
        </w:r>
      </w:sdtContent>
    </w:sdt>
  </w:p>
  <w:p w14:paraId="5912151F" w14:textId="77777777" w:rsidR="00466185" w:rsidRDefault="00466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185"/>
    <w:rsid w:val="000222EA"/>
    <w:rsid w:val="00064076"/>
    <w:rsid w:val="00064A9F"/>
    <w:rsid w:val="00066A7C"/>
    <w:rsid w:val="00072055"/>
    <w:rsid w:val="000902B3"/>
    <w:rsid w:val="000A5E9D"/>
    <w:rsid w:val="000C073B"/>
    <w:rsid w:val="00101944"/>
    <w:rsid w:val="001068C7"/>
    <w:rsid w:val="00120641"/>
    <w:rsid w:val="00127C12"/>
    <w:rsid w:val="0015401B"/>
    <w:rsid w:val="0016014B"/>
    <w:rsid w:val="001656C9"/>
    <w:rsid w:val="001731FC"/>
    <w:rsid w:val="0017626A"/>
    <w:rsid w:val="00197EDB"/>
    <w:rsid w:val="001A3B3C"/>
    <w:rsid w:val="001D5AB9"/>
    <w:rsid w:val="001D6A82"/>
    <w:rsid w:val="001E24FA"/>
    <w:rsid w:val="001E3D86"/>
    <w:rsid w:val="001F1EBE"/>
    <w:rsid w:val="002068EE"/>
    <w:rsid w:val="002075AC"/>
    <w:rsid w:val="00207C2F"/>
    <w:rsid w:val="0024083B"/>
    <w:rsid w:val="00265F9C"/>
    <w:rsid w:val="00282DE8"/>
    <w:rsid w:val="00293105"/>
    <w:rsid w:val="002B51D3"/>
    <w:rsid w:val="002B5BC0"/>
    <w:rsid w:val="003275A9"/>
    <w:rsid w:val="00345C2F"/>
    <w:rsid w:val="00360FCC"/>
    <w:rsid w:val="003767C5"/>
    <w:rsid w:val="00391F5D"/>
    <w:rsid w:val="00392CFC"/>
    <w:rsid w:val="003C4166"/>
    <w:rsid w:val="003F6E4B"/>
    <w:rsid w:val="00421F34"/>
    <w:rsid w:val="00425DC2"/>
    <w:rsid w:val="00436BFD"/>
    <w:rsid w:val="004439CB"/>
    <w:rsid w:val="00465536"/>
    <w:rsid w:val="00466185"/>
    <w:rsid w:val="00486290"/>
    <w:rsid w:val="004C796A"/>
    <w:rsid w:val="004D0DC9"/>
    <w:rsid w:val="00540635"/>
    <w:rsid w:val="005555BA"/>
    <w:rsid w:val="005720C9"/>
    <w:rsid w:val="005934E2"/>
    <w:rsid w:val="005A6BBA"/>
    <w:rsid w:val="005B2237"/>
    <w:rsid w:val="005C1E8C"/>
    <w:rsid w:val="005D2670"/>
    <w:rsid w:val="005F103A"/>
    <w:rsid w:val="005F6EB3"/>
    <w:rsid w:val="00620A7E"/>
    <w:rsid w:val="00622968"/>
    <w:rsid w:val="00643A14"/>
    <w:rsid w:val="0064597E"/>
    <w:rsid w:val="006A27FE"/>
    <w:rsid w:val="006B52B8"/>
    <w:rsid w:val="006C3CC6"/>
    <w:rsid w:val="006D776C"/>
    <w:rsid w:val="006E64EB"/>
    <w:rsid w:val="00706881"/>
    <w:rsid w:val="00716624"/>
    <w:rsid w:val="00733DC0"/>
    <w:rsid w:val="00753FC3"/>
    <w:rsid w:val="00761827"/>
    <w:rsid w:val="007642F2"/>
    <w:rsid w:val="00783F38"/>
    <w:rsid w:val="0078798B"/>
    <w:rsid w:val="007C6852"/>
    <w:rsid w:val="007C7737"/>
    <w:rsid w:val="007D2443"/>
    <w:rsid w:val="007E0AF4"/>
    <w:rsid w:val="0082268C"/>
    <w:rsid w:val="00826390"/>
    <w:rsid w:val="00846717"/>
    <w:rsid w:val="008618F6"/>
    <w:rsid w:val="008664AC"/>
    <w:rsid w:val="008801B1"/>
    <w:rsid w:val="00884099"/>
    <w:rsid w:val="00891882"/>
    <w:rsid w:val="008A3486"/>
    <w:rsid w:val="008B7860"/>
    <w:rsid w:val="008C10DF"/>
    <w:rsid w:val="008C46AB"/>
    <w:rsid w:val="00911F79"/>
    <w:rsid w:val="009322BE"/>
    <w:rsid w:val="009C3F94"/>
    <w:rsid w:val="009C75AE"/>
    <w:rsid w:val="00A06ABA"/>
    <w:rsid w:val="00A65C34"/>
    <w:rsid w:val="00A8426D"/>
    <w:rsid w:val="00A87CDD"/>
    <w:rsid w:val="00A9711B"/>
    <w:rsid w:val="00AA195E"/>
    <w:rsid w:val="00AA2ABC"/>
    <w:rsid w:val="00AA7A76"/>
    <w:rsid w:val="00AB7F8C"/>
    <w:rsid w:val="00AF1416"/>
    <w:rsid w:val="00B03DA7"/>
    <w:rsid w:val="00B314F3"/>
    <w:rsid w:val="00B51A8D"/>
    <w:rsid w:val="00B54019"/>
    <w:rsid w:val="00B6739B"/>
    <w:rsid w:val="00BE6FE7"/>
    <w:rsid w:val="00C57B71"/>
    <w:rsid w:val="00C64E23"/>
    <w:rsid w:val="00CC0AD1"/>
    <w:rsid w:val="00CD4248"/>
    <w:rsid w:val="00D0797E"/>
    <w:rsid w:val="00D56F95"/>
    <w:rsid w:val="00D67FCA"/>
    <w:rsid w:val="00D76024"/>
    <w:rsid w:val="00D8567C"/>
    <w:rsid w:val="00D95000"/>
    <w:rsid w:val="00DB79C1"/>
    <w:rsid w:val="00DD0216"/>
    <w:rsid w:val="00DD639F"/>
    <w:rsid w:val="00E2442D"/>
    <w:rsid w:val="00E355DD"/>
    <w:rsid w:val="00E63F8D"/>
    <w:rsid w:val="00E71B80"/>
    <w:rsid w:val="00EC2DC8"/>
    <w:rsid w:val="00ED760C"/>
    <w:rsid w:val="00F60480"/>
    <w:rsid w:val="00F742BE"/>
    <w:rsid w:val="00F76F8F"/>
    <w:rsid w:val="00F843BE"/>
    <w:rsid w:val="00FE6DCA"/>
    <w:rsid w:val="00FF16B9"/>
    <w:rsid w:val="00FF49C4"/>
    <w:rsid w:val="1B097B6F"/>
    <w:rsid w:val="1CACE2EC"/>
    <w:rsid w:val="1D1FDC53"/>
    <w:rsid w:val="1D2ABBE0"/>
    <w:rsid w:val="1F0D06E4"/>
    <w:rsid w:val="202B26BD"/>
    <w:rsid w:val="2167BCC8"/>
    <w:rsid w:val="21A12FA2"/>
    <w:rsid w:val="29D38411"/>
    <w:rsid w:val="2A9EF3AF"/>
    <w:rsid w:val="32505796"/>
    <w:rsid w:val="325C0A3D"/>
    <w:rsid w:val="32E9E977"/>
    <w:rsid w:val="36D1DCE0"/>
    <w:rsid w:val="3EB3F4AA"/>
    <w:rsid w:val="3EB42A4D"/>
    <w:rsid w:val="400408BE"/>
    <w:rsid w:val="40E6458D"/>
    <w:rsid w:val="435294D3"/>
    <w:rsid w:val="4D648014"/>
    <w:rsid w:val="4E650F7A"/>
    <w:rsid w:val="59A0AA9C"/>
    <w:rsid w:val="5B43EF4B"/>
    <w:rsid w:val="5DC47DC7"/>
    <w:rsid w:val="64C15D86"/>
    <w:rsid w:val="6833DEBD"/>
    <w:rsid w:val="6E809F53"/>
    <w:rsid w:val="6EA3043A"/>
    <w:rsid w:val="79B702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12150D"/>
  <w15:chartTrackingRefBased/>
  <w15:docId w15:val="{F7E17A35-6381-4B42-AC62-9C746AB0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 w:type="character" w:styleId="CommentReference">
    <w:name w:val="annotation reference"/>
    <w:basedOn w:val="DefaultParagraphFont"/>
    <w:uiPriority w:val="99"/>
    <w:semiHidden/>
    <w:unhideWhenUsed/>
    <w:rsid w:val="00E2442D"/>
    <w:rPr>
      <w:sz w:val="16"/>
      <w:szCs w:val="16"/>
    </w:rPr>
  </w:style>
  <w:style w:type="paragraph" w:styleId="CommentText">
    <w:name w:val="annotation text"/>
    <w:basedOn w:val="Normal"/>
    <w:link w:val="CommentTextChar"/>
    <w:uiPriority w:val="99"/>
    <w:semiHidden/>
    <w:unhideWhenUsed/>
    <w:rsid w:val="00E2442D"/>
    <w:pPr>
      <w:spacing w:line="240" w:lineRule="auto"/>
    </w:pPr>
    <w:rPr>
      <w:sz w:val="20"/>
      <w:szCs w:val="20"/>
    </w:rPr>
  </w:style>
  <w:style w:type="character" w:customStyle="1" w:styleId="CommentTextChar">
    <w:name w:val="Comment Text Char"/>
    <w:basedOn w:val="DefaultParagraphFont"/>
    <w:link w:val="CommentText"/>
    <w:uiPriority w:val="99"/>
    <w:semiHidden/>
    <w:rsid w:val="00E2442D"/>
    <w:rPr>
      <w:sz w:val="20"/>
      <w:szCs w:val="20"/>
    </w:rPr>
  </w:style>
  <w:style w:type="paragraph" w:styleId="CommentSubject">
    <w:name w:val="annotation subject"/>
    <w:basedOn w:val="CommentText"/>
    <w:next w:val="CommentText"/>
    <w:link w:val="CommentSubjectChar"/>
    <w:uiPriority w:val="99"/>
    <w:semiHidden/>
    <w:unhideWhenUsed/>
    <w:rsid w:val="00E2442D"/>
    <w:rPr>
      <w:b/>
      <w:bCs/>
    </w:rPr>
  </w:style>
  <w:style w:type="character" w:customStyle="1" w:styleId="CommentSubjectChar">
    <w:name w:val="Comment Subject Char"/>
    <w:basedOn w:val="CommentTextChar"/>
    <w:link w:val="CommentSubject"/>
    <w:uiPriority w:val="99"/>
    <w:semiHidden/>
    <w:rsid w:val="00E244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124288">
      <w:bodyDiv w:val="1"/>
      <w:marLeft w:val="0"/>
      <w:marRight w:val="0"/>
      <w:marTop w:val="0"/>
      <w:marBottom w:val="0"/>
      <w:divBdr>
        <w:top w:val="none" w:sz="0" w:space="0" w:color="auto"/>
        <w:left w:val="none" w:sz="0" w:space="0" w:color="auto"/>
        <w:bottom w:val="none" w:sz="0" w:space="0" w:color="auto"/>
        <w:right w:val="none" w:sz="0" w:space="0" w:color="auto"/>
      </w:divBdr>
    </w:div>
    <w:div w:id="246497863">
      <w:bodyDiv w:val="1"/>
      <w:marLeft w:val="0"/>
      <w:marRight w:val="0"/>
      <w:marTop w:val="0"/>
      <w:marBottom w:val="0"/>
      <w:divBdr>
        <w:top w:val="none" w:sz="0" w:space="0" w:color="auto"/>
        <w:left w:val="none" w:sz="0" w:space="0" w:color="auto"/>
        <w:bottom w:val="none" w:sz="0" w:space="0" w:color="auto"/>
        <w:right w:val="none" w:sz="0" w:space="0" w:color="auto"/>
      </w:divBdr>
    </w:div>
    <w:div w:id="319700734">
      <w:bodyDiv w:val="1"/>
      <w:marLeft w:val="0"/>
      <w:marRight w:val="0"/>
      <w:marTop w:val="0"/>
      <w:marBottom w:val="0"/>
      <w:divBdr>
        <w:top w:val="none" w:sz="0" w:space="0" w:color="auto"/>
        <w:left w:val="none" w:sz="0" w:space="0" w:color="auto"/>
        <w:bottom w:val="none" w:sz="0" w:space="0" w:color="auto"/>
        <w:right w:val="none" w:sz="0" w:space="0" w:color="auto"/>
      </w:divBdr>
    </w:div>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300917820">
      <w:bodyDiv w:val="1"/>
      <w:marLeft w:val="0"/>
      <w:marRight w:val="0"/>
      <w:marTop w:val="0"/>
      <w:marBottom w:val="0"/>
      <w:divBdr>
        <w:top w:val="none" w:sz="0" w:space="0" w:color="auto"/>
        <w:left w:val="none" w:sz="0" w:space="0" w:color="auto"/>
        <w:bottom w:val="none" w:sz="0" w:space="0" w:color="auto"/>
        <w:right w:val="none" w:sz="0" w:space="0" w:color="auto"/>
      </w:divBdr>
    </w:div>
    <w:div w:id="1567302005">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 w:id="1690135711">
      <w:bodyDiv w:val="1"/>
      <w:marLeft w:val="0"/>
      <w:marRight w:val="0"/>
      <w:marTop w:val="0"/>
      <w:marBottom w:val="0"/>
      <w:divBdr>
        <w:top w:val="none" w:sz="0" w:space="0" w:color="auto"/>
        <w:left w:val="none" w:sz="0" w:space="0" w:color="auto"/>
        <w:bottom w:val="none" w:sz="0" w:space="0" w:color="auto"/>
        <w:right w:val="none" w:sz="0" w:space="0" w:color="auto"/>
      </w:divBdr>
    </w:div>
    <w:div w:id="20926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FE7A323BB78D4DB02FDFD6F85C7B48" ma:contentTypeVersion="0" ma:contentTypeDescription="Create a new document." ma:contentTypeScope="" ma:versionID="94dbe26ae28c4d0caa5a3065fb91cf85">
  <xsd:schema xmlns:xsd="http://www.w3.org/2001/XMLSchema" xmlns:xs="http://www.w3.org/2001/XMLSchema" xmlns:p="http://schemas.microsoft.com/office/2006/metadata/properties" targetNamespace="http://schemas.microsoft.com/office/2006/metadata/properties" ma:root="true" ma:fieldsID="aae12c555ce7ed9979d5a752b5dc44a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8DED21-4795-4D16-AF82-73B75C0C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BDB091-49A2-4D4A-AED8-A7BC7626D9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747</Words>
  <Characters>4258</Characters>
  <Application>Microsoft Office Word</Application>
  <DocSecurity>0</DocSecurity>
  <Lines>35</Lines>
  <Paragraphs>9</Paragraphs>
  <ScaleCrop>false</ScaleCrop>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5</cp:revision>
  <cp:lastPrinted>2019-05-29T22:21:00Z</cp:lastPrinted>
  <dcterms:created xsi:type="dcterms:W3CDTF">2020-05-15T21:49:00Z</dcterms:created>
  <dcterms:modified xsi:type="dcterms:W3CDTF">2020-11-05T19:30:00Z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0x010100ABFE7A323BB78D4DB02FDFD6F85C7B48</vt:lpwstr>
  </property>
</Properties>
</file>